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97" w:rsidRDefault="00A81597" w:rsidP="00A81597">
      <w:pPr>
        <w:spacing w:after="240"/>
        <w:rPr>
          <w:rFonts w:ascii="Times New Roman" w:hAnsi="Times New Roman" w:cs="Times New Roman"/>
          <w:sz w:val="24"/>
          <w:szCs w:val="24"/>
        </w:rPr>
      </w:pPr>
      <w:bookmarkStart w:id="0" w:name="_Hlk480909174"/>
      <w:bookmarkStart w:id="1" w:name="_GoBack"/>
      <w:bookmarkEnd w:id="0"/>
      <w:bookmarkEnd w:id="1"/>
      <w:r w:rsidRPr="00AA4044">
        <w:rPr>
          <w:noProof/>
        </w:rPr>
        <w:drawing>
          <wp:inline distT="0" distB="0" distL="0" distR="0" wp14:anchorId="6A64D064" wp14:editId="389B8E2E">
            <wp:extent cx="5926347" cy="860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fa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1566" cy="871381"/>
                    </a:xfrm>
                    <a:prstGeom prst="rect">
                      <a:avLst/>
                    </a:prstGeom>
                  </pic:spPr>
                </pic:pic>
              </a:graphicData>
            </a:graphic>
          </wp:inline>
        </w:drawing>
      </w:r>
    </w:p>
    <w:p w:rsidR="00E87115" w:rsidRPr="00D714F0" w:rsidRDefault="006136FE" w:rsidP="00DC6114">
      <w:pPr>
        <w:spacing w:after="240"/>
        <w:rPr>
          <w:rFonts w:ascii="Garamond" w:hAnsi="Garamond" w:cs="Times New Roman"/>
          <w:sz w:val="24"/>
          <w:szCs w:val="24"/>
        </w:rPr>
      </w:pPr>
      <w:r w:rsidRPr="00D714F0">
        <w:rPr>
          <w:rFonts w:ascii="Garamond" w:hAnsi="Garamond" w:cs="Times New Roman"/>
          <w:sz w:val="24"/>
          <w:szCs w:val="24"/>
        </w:rPr>
        <w:t xml:space="preserve">April </w:t>
      </w:r>
      <w:r w:rsidR="00D714F0" w:rsidRPr="00D714F0">
        <w:rPr>
          <w:rFonts w:ascii="Garamond" w:hAnsi="Garamond" w:cs="Times New Roman"/>
          <w:sz w:val="24"/>
          <w:szCs w:val="24"/>
        </w:rPr>
        <w:t>5</w:t>
      </w:r>
      <w:r w:rsidR="00DC6114" w:rsidRPr="00D714F0">
        <w:rPr>
          <w:rFonts w:ascii="Garamond" w:hAnsi="Garamond" w:cs="Times New Roman"/>
          <w:sz w:val="24"/>
          <w:szCs w:val="24"/>
        </w:rPr>
        <w:t>, 202</w:t>
      </w:r>
      <w:r w:rsidRPr="00D714F0">
        <w:rPr>
          <w:rFonts w:ascii="Garamond" w:hAnsi="Garamond" w:cs="Times New Roman"/>
          <w:sz w:val="24"/>
          <w:szCs w:val="24"/>
        </w:rPr>
        <w:t>2</w:t>
      </w:r>
    </w:p>
    <w:p w:rsidR="00A81597" w:rsidRPr="00D714F0" w:rsidRDefault="00A81597" w:rsidP="00A81597">
      <w:pPr>
        <w:spacing w:after="0"/>
        <w:rPr>
          <w:rFonts w:ascii="Garamond" w:hAnsi="Garamond" w:cs="Times New Roman"/>
          <w:sz w:val="24"/>
          <w:szCs w:val="24"/>
        </w:rPr>
      </w:pPr>
      <w:r w:rsidRPr="00D714F0">
        <w:rPr>
          <w:rFonts w:ascii="Garamond" w:hAnsi="Garamond" w:cs="Times New Roman"/>
          <w:sz w:val="24"/>
          <w:szCs w:val="24"/>
        </w:rPr>
        <w:t xml:space="preserve">Dr. </w:t>
      </w:r>
      <w:r w:rsidR="006136FE" w:rsidRPr="00D714F0">
        <w:rPr>
          <w:rFonts w:ascii="Garamond" w:hAnsi="Garamond" w:cs="Times New Roman"/>
          <w:sz w:val="24"/>
          <w:szCs w:val="24"/>
        </w:rPr>
        <w:t xml:space="preserve">Robert </w:t>
      </w:r>
      <w:proofErr w:type="spellStart"/>
      <w:r w:rsidR="006136FE" w:rsidRPr="00D714F0">
        <w:rPr>
          <w:rFonts w:ascii="Garamond" w:hAnsi="Garamond" w:cs="Times New Roman"/>
          <w:sz w:val="24"/>
          <w:szCs w:val="24"/>
        </w:rPr>
        <w:t>Califf</w:t>
      </w:r>
      <w:proofErr w:type="spellEnd"/>
    </w:p>
    <w:p w:rsidR="00ED0E18" w:rsidRPr="00D714F0" w:rsidRDefault="00A81597" w:rsidP="00A81597">
      <w:pPr>
        <w:spacing w:after="0"/>
        <w:rPr>
          <w:rFonts w:ascii="Garamond" w:hAnsi="Garamond" w:cs="Times New Roman"/>
          <w:sz w:val="24"/>
          <w:szCs w:val="24"/>
        </w:rPr>
      </w:pPr>
      <w:r w:rsidRPr="00D714F0">
        <w:rPr>
          <w:rFonts w:ascii="Garamond" w:hAnsi="Garamond" w:cs="Times New Roman"/>
          <w:sz w:val="24"/>
          <w:szCs w:val="24"/>
        </w:rPr>
        <w:t>Commissioner</w:t>
      </w:r>
    </w:p>
    <w:p w:rsidR="00A81597" w:rsidRPr="00D714F0" w:rsidRDefault="00ED0E18" w:rsidP="00A81597">
      <w:pPr>
        <w:spacing w:after="0"/>
        <w:rPr>
          <w:rFonts w:ascii="Garamond" w:hAnsi="Garamond" w:cs="Times New Roman"/>
          <w:i/>
          <w:iCs/>
          <w:sz w:val="24"/>
          <w:szCs w:val="24"/>
        </w:rPr>
      </w:pPr>
      <w:r w:rsidRPr="00D714F0">
        <w:rPr>
          <w:rFonts w:ascii="Garamond" w:hAnsi="Garamond" w:cs="Times New Roman"/>
          <w:sz w:val="24"/>
          <w:szCs w:val="24"/>
        </w:rPr>
        <w:t>U.S.</w:t>
      </w:r>
      <w:r w:rsidR="00A81597" w:rsidRPr="00D714F0">
        <w:rPr>
          <w:rFonts w:ascii="Garamond" w:hAnsi="Garamond" w:cs="Times New Roman"/>
          <w:sz w:val="24"/>
          <w:szCs w:val="24"/>
        </w:rPr>
        <w:t xml:space="preserve"> Food and Drug Administration</w:t>
      </w:r>
      <w:r w:rsidR="00A81597" w:rsidRPr="00D714F0">
        <w:rPr>
          <w:rFonts w:ascii="Garamond" w:hAnsi="Garamond" w:cs="Times New Roman"/>
          <w:sz w:val="24"/>
          <w:szCs w:val="24"/>
        </w:rPr>
        <w:br/>
      </w:r>
    </w:p>
    <w:p w:rsidR="00A81597" w:rsidRPr="00D714F0" w:rsidRDefault="00A81597" w:rsidP="00A81597">
      <w:pPr>
        <w:spacing w:after="240"/>
        <w:rPr>
          <w:rFonts w:ascii="Garamond" w:hAnsi="Garamond" w:cs="Times New Roman"/>
          <w:i/>
          <w:iCs/>
          <w:sz w:val="24"/>
          <w:szCs w:val="24"/>
        </w:rPr>
      </w:pPr>
      <w:r w:rsidRPr="00D714F0">
        <w:rPr>
          <w:rFonts w:ascii="Garamond" w:hAnsi="Garamond" w:cs="Times New Roman"/>
          <w:i/>
          <w:iCs/>
          <w:sz w:val="24"/>
          <w:szCs w:val="24"/>
        </w:rPr>
        <w:t>Submitted electronically</w:t>
      </w:r>
    </w:p>
    <w:p w:rsidR="006136FE" w:rsidRPr="00D714F0" w:rsidRDefault="00A81597" w:rsidP="00544631">
      <w:pPr>
        <w:spacing w:after="240"/>
        <w:jc w:val="both"/>
        <w:rPr>
          <w:rFonts w:ascii="Garamond" w:hAnsi="Garamond" w:cs="Times New Roman"/>
          <w:b/>
          <w:bCs/>
          <w:sz w:val="24"/>
          <w:szCs w:val="24"/>
        </w:rPr>
      </w:pPr>
      <w:r w:rsidRPr="00D714F0">
        <w:rPr>
          <w:rFonts w:ascii="Garamond" w:hAnsi="Garamond" w:cs="Times New Roman"/>
          <w:b/>
          <w:bCs/>
          <w:sz w:val="24"/>
          <w:szCs w:val="24"/>
        </w:rPr>
        <w:t xml:space="preserve">Re:  </w:t>
      </w:r>
      <w:r w:rsidR="006136FE" w:rsidRPr="00D714F0">
        <w:rPr>
          <w:rFonts w:ascii="Garamond" w:hAnsi="Garamond" w:cs="Times New Roman"/>
          <w:b/>
          <w:bCs/>
          <w:sz w:val="24"/>
          <w:szCs w:val="24"/>
        </w:rPr>
        <w:t>Standards for the Growing, Harvesting, Packing, and Holding of Produce for Human Consumption Relating to Agricultural Water</w:t>
      </w:r>
    </w:p>
    <w:p w:rsidR="00ED0E18" w:rsidRPr="00D714F0" w:rsidRDefault="00ED0E18" w:rsidP="00544631">
      <w:pPr>
        <w:spacing w:after="240"/>
        <w:jc w:val="both"/>
        <w:rPr>
          <w:rFonts w:ascii="Garamond" w:hAnsi="Garamond" w:cs="Times New Roman"/>
          <w:bCs/>
          <w:sz w:val="24"/>
          <w:szCs w:val="24"/>
        </w:rPr>
      </w:pPr>
      <w:r w:rsidRPr="00D714F0">
        <w:rPr>
          <w:rFonts w:ascii="Garamond" w:hAnsi="Garamond" w:cs="Times New Roman"/>
          <w:bCs/>
          <w:sz w:val="24"/>
          <w:szCs w:val="24"/>
        </w:rPr>
        <w:t>Dear Commissioner</w:t>
      </w:r>
      <w:r w:rsidR="006136FE" w:rsidRPr="00D714F0">
        <w:rPr>
          <w:rFonts w:ascii="Garamond" w:hAnsi="Garamond" w:cs="Times New Roman"/>
          <w:bCs/>
          <w:sz w:val="24"/>
          <w:szCs w:val="24"/>
        </w:rPr>
        <w:t xml:space="preserve"> </w:t>
      </w:r>
      <w:proofErr w:type="spellStart"/>
      <w:r w:rsidR="006136FE" w:rsidRPr="00D714F0">
        <w:rPr>
          <w:rFonts w:ascii="Garamond" w:hAnsi="Garamond" w:cs="Times New Roman"/>
          <w:bCs/>
          <w:sz w:val="24"/>
          <w:szCs w:val="24"/>
        </w:rPr>
        <w:t>Califf</w:t>
      </w:r>
      <w:proofErr w:type="spellEnd"/>
      <w:r w:rsidRPr="00D714F0">
        <w:rPr>
          <w:rFonts w:ascii="Garamond" w:hAnsi="Garamond" w:cs="Times New Roman"/>
          <w:bCs/>
          <w:sz w:val="24"/>
          <w:szCs w:val="24"/>
        </w:rPr>
        <w:t xml:space="preserve">: </w:t>
      </w:r>
    </w:p>
    <w:p w:rsidR="00344178" w:rsidRDefault="00ED0E18" w:rsidP="00544631">
      <w:pPr>
        <w:ind w:firstLine="720"/>
        <w:jc w:val="both"/>
        <w:rPr>
          <w:rFonts w:ascii="Garamond" w:hAnsi="Garamond" w:cs="Times New Roman"/>
          <w:bCs/>
          <w:sz w:val="24"/>
          <w:szCs w:val="24"/>
        </w:rPr>
      </w:pPr>
      <w:r w:rsidRPr="00D714F0">
        <w:rPr>
          <w:rFonts w:ascii="Garamond" w:hAnsi="Garamond" w:cs="Times New Roman"/>
          <w:bCs/>
          <w:sz w:val="24"/>
          <w:szCs w:val="24"/>
        </w:rPr>
        <w:t xml:space="preserve">Consumer Federation of America appreciates your consideration of these comments on the U.S. Food and Drug Administration’s </w:t>
      </w:r>
      <w:r w:rsidR="00AC367A">
        <w:rPr>
          <w:rFonts w:ascii="Garamond" w:hAnsi="Garamond" w:cs="Times New Roman"/>
          <w:bCs/>
          <w:sz w:val="24"/>
          <w:szCs w:val="24"/>
        </w:rPr>
        <w:t>Proposed Rule</w:t>
      </w:r>
      <w:r w:rsidRPr="00D714F0">
        <w:rPr>
          <w:rFonts w:ascii="Garamond" w:hAnsi="Garamond" w:cs="Times New Roman"/>
          <w:bCs/>
          <w:sz w:val="24"/>
          <w:szCs w:val="24"/>
        </w:rPr>
        <w:t xml:space="preserve"> to </w:t>
      </w:r>
      <w:r w:rsidR="0013514E" w:rsidRPr="00D714F0">
        <w:rPr>
          <w:rFonts w:ascii="Garamond" w:hAnsi="Garamond" w:cs="Times New Roman"/>
          <w:bCs/>
          <w:sz w:val="24"/>
          <w:szCs w:val="24"/>
        </w:rPr>
        <w:t xml:space="preserve">amend the agricultural water </w:t>
      </w:r>
      <w:r w:rsidR="003262B4">
        <w:rPr>
          <w:rFonts w:ascii="Garamond" w:hAnsi="Garamond" w:cs="Times New Roman"/>
          <w:bCs/>
          <w:sz w:val="24"/>
          <w:szCs w:val="24"/>
        </w:rPr>
        <w:t>standards</w:t>
      </w:r>
      <w:r w:rsidR="0013514E" w:rsidRPr="00D714F0">
        <w:rPr>
          <w:rFonts w:ascii="Garamond" w:hAnsi="Garamond" w:cs="Times New Roman"/>
          <w:bCs/>
          <w:sz w:val="24"/>
          <w:szCs w:val="24"/>
        </w:rPr>
        <w:t xml:space="preserve"> of the produce safety </w:t>
      </w:r>
      <w:r w:rsidR="003262B4">
        <w:rPr>
          <w:rFonts w:ascii="Garamond" w:hAnsi="Garamond" w:cs="Times New Roman"/>
          <w:bCs/>
          <w:sz w:val="24"/>
          <w:szCs w:val="24"/>
        </w:rPr>
        <w:t>rule</w:t>
      </w:r>
      <w:r w:rsidR="0013514E" w:rsidRPr="00D714F0">
        <w:rPr>
          <w:rFonts w:ascii="Garamond" w:hAnsi="Garamond" w:cs="Times New Roman"/>
          <w:bCs/>
          <w:sz w:val="24"/>
          <w:szCs w:val="24"/>
        </w:rPr>
        <w:t xml:space="preserve">. </w:t>
      </w:r>
      <w:r w:rsidR="00344178">
        <w:rPr>
          <w:rFonts w:ascii="Garamond" w:hAnsi="Garamond" w:cs="Times New Roman"/>
          <w:bCs/>
          <w:sz w:val="24"/>
          <w:szCs w:val="24"/>
        </w:rPr>
        <w:t xml:space="preserve">As we indicated in our joint comments with the Center for Science in the Public Interest, we commend FDA for moving forward in implementing </w:t>
      </w:r>
      <w:r w:rsidR="003262B4">
        <w:rPr>
          <w:rFonts w:ascii="Garamond" w:hAnsi="Garamond" w:cs="Times New Roman"/>
          <w:bCs/>
          <w:sz w:val="24"/>
          <w:szCs w:val="24"/>
        </w:rPr>
        <w:t xml:space="preserve">this important </w:t>
      </w:r>
      <w:r w:rsidR="00AC367A">
        <w:rPr>
          <w:rFonts w:ascii="Garamond" w:hAnsi="Garamond" w:cs="Times New Roman"/>
          <w:bCs/>
          <w:sz w:val="24"/>
          <w:szCs w:val="24"/>
        </w:rPr>
        <w:t>part</w:t>
      </w:r>
      <w:r w:rsidR="003262B4">
        <w:rPr>
          <w:rFonts w:ascii="Garamond" w:hAnsi="Garamond" w:cs="Times New Roman"/>
          <w:bCs/>
          <w:sz w:val="24"/>
          <w:szCs w:val="24"/>
        </w:rPr>
        <w:t xml:space="preserve"> of the Food Safety Modernization Act, and we</w:t>
      </w:r>
      <w:r w:rsidR="00344178">
        <w:rPr>
          <w:rFonts w:ascii="Garamond" w:hAnsi="Garamond" w:cs="Times New Roman"/>
          <w:bCs/>
          <w:sz w:val="24"/>
          <w:szCs w:val="24"/>
        </w:rPr>
        <w:t xml:space="preserve"> support aspects of the </w:t>
      </w:r>
      <w:r w:rsidR="00AC367A">
        <w:rPr>
          <w:rFonts w:ascii="Garamond" w:hAnsi="Garamond" w:cs="Times New Roman"/>
          <w:bCs/>
          <w:sz w:val="24"/>
          <w:szCs w:val="24"/>
        </w:rPr>
        <w:t>P</w:t>
      </w:r>
      <w:r w:rsidR="00344178">
        <w:rPr>
          <w:rFonts w:ascii="Garamond" w:hAnsi="Garamond" w:cs="Times New Roman"/>
          <w:bCs/>
          <w:sz w:val="24"/>
          <w:szCs w:val="24"/>
        </w:rPr>
        <w:t xml:space="preserve">roposed </w:t>
      </w:r>
      <w:r w:rsidR="00AC367A">
        <w:rPr>
          <w:rFonts w:ascii="Garamond" w:hAnsi="Garamond" w:cs="Times New Roman"/>
          <w:bCs/>
          <w:sz w:val="24"/>
          <w:szCs w:val="24"/>
        </w:rPr>
        <w:t>R</w:t>
      </w:r>
      <w:r w:rsidR="00344178">
        <w:rPr>
          <w:rFonts w:ascii="Garamond" w:hAnsi="Garamond" w:cs="Times New Roman"/>
          <w:bCs/>
          <w:sz w:val="24"/>
          <w:szCs w:val="24"/>
        </w:rPr>
        <w:t xml:space="preserve">ule that will require growers to conduct comprehensive, scientifically sound hazard analysis and mitigation </w:t>
      </w:r>
      <w:r w:rsidR="003262B4">
        <w:rPr>
          <w:rFonts w:ascii="Garamond" w:hAnsi="Garamond" w:cs="Times New Roman"/>
          <w:bCs/>
          <w:sz w:val="24"/>
          <w:szCs w:val="24"/>
        </w:rPr>
        <w:t>related to</w:t>
      </w:r>
      <w:r w:rsidR="00344178">
        <w:rPr>
          <w:rFonts w:ascii="Garamond" w:hAnsi="Garamond" w:cs="Times New Roman"/>
          <w:bCs/>
          <w:sz w:val="24"/>
          <w:szCs w:val="24"/>
        </w:rPr>
        <w:t xml:space="preserve"> agricultural </w:t>
      </w:r>
      <w:r w:rsidR="00344178" w:rsidRPr="002B1CFF">
        <w:rPr>
          <w:rFonts w:ascii="Garamond" w:hAnsi="Garamond" w:cs="Times New Roman"/>
          <w:bCs/>
          <w:sz w:val="24"/>
          <w:szCs w:val="24"/>
        </w:rPr>
        <w:t>water</w:t>
      </w:r>
      <w:r w:rsidR="003262B4">
        <w:rPr>
          <w:rFonts w:ascii="Garamond" w:hAnsi="Garamond" w:cs="Times New Roman"/>
          <w:bCs/>
          <w:sz w:val="24"/>
          <w:szCs w:val="24"/>
        </w:rPr>
        <w:t xml:space="preserve"> use</w:t>
      </w:r>
      <w:r w:rsidR="00344178" w:rsidRPr="002B1CFF">
        <w:rPr>
          <w:rFonts w:ascii="Garamond" w:hAnsi="Garamond" w:cs="Times New Roman"/>
          <w:bCs/>
          <w:sz w:val="24"/>
          <w:szCs w:val="24"/>
        </w:rPr>
        <w:t xml:space="preserve">. </w:t>
      </w:r>
      <w:r w:rsidR="0001012F">
        <w:rPr>
          <w:rFonts w:ascii="Garamond" w:hAnsi="Garamond" w:cs="Times New Roman"/>
          <w:bCs/>
          <w:sz w:val="24"/>
          <w:szCs w:val="24"/>
        </w:rPr>
        <w:t>However, the lack of enforceable, prescriptive standards</w:t>
      </w:r>
      <w:r w:rsidR="005B105A">
        <w:rPr>
          <w:rFonts w:ascii="Garamond" w:hAnsi="Garamond" w:cs="Times New Roman"/>
          <w:bCs/>
          <w:sz w:val="24"/>
          <w:szCs w:val="24"/>
        </w:rPr>
        <w:t xml:space="preserve"> in the Proposed Rule</w:t>
      </w:r>
      <w:r w:rsidR="0001012F">
        <w:rPr>
          <w:rFonts w:ascii="Garamond" w:hAnsi="Garamond" w:cs="Times New Roman"/>
          <w:bCs/>
          <w:sz w:val="24"/>
          <w:szCs w:val="24"/>
        </w:rPr>
        <w:t xml:space="preserve"> raises </w:t>
      </w:r>
      <w:r w:rsidR="003262B4">
        <w:rPr>
          <w:rFonts w:ascii="Garamond" w:hAnsi="Garamond" w:cs="Times New Roman"/>
          <w:bCs/>
          <w:sz w:val="24"/>
          <w:szCs w:val="24"/>
        </w:rPr>
        <w:t xml:space="preserve">a significant </w:t>
      </w:r>
      <w:r w:rsidR="0001012F">
        <w:rPr>
          <w:rFonts w:ascii="Garamond" w:hAnsi="Garamond" w:cs="Times New Roman"/>
          <w:bCs/>
          <w:sz w:val="24"/>
          <w:szCs w:val="24"/>
        </w:rPr>
        <w:t xml:space="preserve">concern that many food safety hazards will evade remediation, </w:t>
      </w:r>
      <w:r w:rsidR="003262B4">
        <w:rPr>
          <w:rFonts w:ascii="Garamond" w:hAnsi="Garamond" w:cs="Times New Roman"/>
          <w:bCs/>
          <w:sz w:val="24"/>
          <w:szCs w:val="24"/>
        </w:rPr>
        <w:t>if not</w:t>
      </w:r>
      <w:r w:rsidR="0001012F">
        <w:rPr>
          <w:rFonts w:ascii="Garamond" w:hAnsi="Garamond" w:cs="Times New Roman"/>
          <w:bCs/>
          <w:sz w:val="24"/>
          <w:szCs w:val="24"/>
        </w:rPr>
        <w:t xml:space="preserve"> detection</w:t>
      </w:r>
      <w:r w:rsidR="003262B4">
        <w:rPr>
          <w:rFonts w:ascii="Garamond" w:hAnsi="Garamond" w:cs="Times New Roman"/>
          <w:bCs/>
          <w:sz w:val="24"/>
          <w:szCs w:val="24"/>
        </w:rPr>
        <w:t>, and that g</w:t>
      </w:r>
      <w:r w:rsidR="0012022D">
        <w:rPr>
          <w:rFonts w:ascii="Garamond" w:hAnsi="Garamond" w:cs="Times New Roman"/>
          <w:bCs/>
          <w:sz w:val="24"/>
          <w:szCs w:val="24"/>
        </w:rPr>
        <w:t>overnment inspectors will not have adequate tools to hold noncompliant growers accountable</w:t>
      </w:r>
      <w:r w:rsidR="0001012F">
        <w:rPr>
          <w:rFonts w:ascii="Garamond" w:hAnsi="Garamond" w:cs="Times New Roman"/>
          <w:bCs/>
          <w:sz w:val="24"/>
          <w:szCs w:val="24"/>
        </w:rPr>
        <w:t xml:space="preserve">. </w:t>
      </w:r>
      <w:r w:rsidR="00344178" w:rsidRPr="002B1CFF">
        <w:rPr>
          <w:rFonts w:ascii="Garamond" w:hAnsi="Garamond" w:cs="Times New Roman"/>
          <w:bCs/>
          <w:sz w:val="24"/>
          <w:szCs w:val="24"/>
        </w:rPr>
        <w:t xml:space="preserve">CFA writes separately here to urge FDA to </w:t>
      </w:r>
      <w:r w:rsidR="0012022D">
        <w:rPr>
          <w:rFonts w:ascii="Garamond" w:hAnsi="Garamond" w:cs="Times New Roman"/>
          <w:bCs/>
          <w:sz w:val="24"/>
          <w:szCs w:val="24"/>
        </w:rPr>
        <w:t>provide clearer directions for grow</w:t>
      </w:r>
      <w:r w:rsidR="0012022D">
        <w:rPr>
          <w:rFonts w:ascii="Garamond" w:hAnsi="Garamond" w:cs="Times New Roman"/>
          <w:bCs/>
          <w:sz w:val="24"/>
          <w:szCs w:val="24"/>
        </w:rPr>
        <w:lastRenderedPageBreak/>
        <w:t xml:space="preserve">ers and inspectors alike in the </w:t>
      </w:r>
      <w:r w:rsidR="00AC367A">
        <w:rPr>
          <w:rFonts w:ascii="Garamond" w:hAnsi="Garamond" w:cs="Times New Roman"/>
          <w:bCs/>
          <w:sz w:val="24"/>
          <w:szCs w:val="24"/>
        </w:rPr>
        <w:t>final rule. In particular, FDA should</w:t>
      </w:r>
      <w:r w:rsidR="0012022D">
        <w:rPr>
          <w:rFonts w:ascii="Garamond" w:hAnsi="Garamond" w:cs="Times New Roman"/>
          <w:bCs/>
          <w:sz w:val="24"/>
          <w:szCs w:val="24"/>
        </w:rPr>
        <w:t xml:space="preserve"> </w:t>
      </w:r>
      <w:r w:rsidR="00AC367A">
        <w:rPr>
          <w:rFonts w:ascii="Garamond" w:hAnsi="Garamond" w:cs="Times New Roman"/>
          <w:bCs/>
          <w:sz w:val="24"/>
          <w:szCs w:val="24"/>
        </w:rPr>
        <w:t xml:space="preserve">clarify that </w:t>
      </w:r>
      <w:r w:rsidR="00344178" w:rsidRPr="002B1CFF">
        <w:rPr>
          <w:rFonts w:ascii="Garamond" w:hAnsi="Garamond" w:cs="Times New Roman"/>
          <w:bCs/>
          <w:sz w:val="24"/>
          <w:szCs w:val="24"/>
        </w:rPr>
        <w:t xml:space="preserve">water assessments required under the </w:t>
      </w:r>
      <w:r w:rsidR="00AC367A">
        <w:rPr>
          <w:rFonts w:ascii="Garamond" w:hAnsi="Garamond" w:cs="Times New Roman"/>
          <w:bCs/>
          <w:sz w:val="24"/>
          <w:szCs w:val="24"/>
        </w:rPr>
        <w:t xml:space="preserve">Proposed Rule must </w:t>
      </w:r>
      <w:r w:rsidR="00AC367A" w:rsidRPr="00AC367A">
        <w:rPr>
          <w:rFonts w:ascii="Garamond" w:hAnsi="Garamond" w:cs="Times New Roman"/>
          <w:bCs/>
          <w:sz w:val="24"/>
          <w:szCs w:val="24"/>
        </w:rPr>
        <w:t>incorporate validated microbial testing</w:t>
      </w:r>
      <w:r w:rsidR="0001012F">
        <w:rPr>
          <w:rFonts w:ascii="Garamond" w:hAnsi="Garamond" w:cs="Times New Roman"/>
          <w:bCs/>
          <w:sz w:val="24"/>
          <w:szCs w:val="24"/>
        </w:rPr>
        <w:t xml:space="preserve">, </w:t>
      </w:r>
      <w:r w:rsidR="00AC367A">
        <w:rPr>
          <w:rFonts w:ascii="Garamond" w:hAnsi="Garamond" w:cs="Times New Roman"/>
          <w:bCs/>
          <w:sz w:val="24"/>
          <w:szCs w:val="24"/>
        </w:rPr>
        <w:t xml:space="preserve">and that </w:t>
      </w:r>
      <w:r w:rsidR="00067B8B">
        <w:rPr>
          <w:rFonts w:ascii="Garamond" w:hAnsi="Garamond" w:cs="Times New Roman"/>
          <w:bCs/>
          <w:sz w:val="24"/>
          <w:szCs w:val="24"/>
        </w:rPr>
        <w:t xml:space="preserve">growers must treat water in </w:t>
      </w:r>
      <w:r w:rsidR="00AC367A">
        <w:rPr>
          <w:rFonts w:ascii="Garamond" w:hAnsi="Garamond" w:cs="Times New Roman"/>
          <w:bCs/>
          <w:sz w:val="24"/>
          <w:szCs w:val="24"/>
        </w:rPr>
        <w:t>certain</w:t>
      </w:r>
      <w:r w:rsidR="005B105A">
        <w:rPr>
          <w:rFonts w:ascii="Garamond" w:hAnsi="Garamond" w:cs="Times New Roman"/>
          <w:bCs/>
          <w:sz w:val="24"/>
          <w:szCs w:val="24"/>
        </w:rPr>
        <w:t xml:space="preserve"> high-risk</w:t>
      </w:r>
      <w:r w:rsidR="00067B8B">
        <w:rPr>
          <w:rFonts w:ascii="Garamond" w:hAnsi="Garamond" w:cs="Times New Roman"/>
          <w:bCs/>
          <w:sz w:val="24"/>
          <w:szCs w:val="24"/>
        </w:rPr>
        <w:t xml:space="preserve"> circumstances</w:t>
      </w:r>
      <w:r w:rsidR="005B105A">
        <w:rPr>
          <w:rFonts w:ascii="Garamond" w:hAnsi="Garamond" w:cs="Times New Roman"/>
          <w:bCs/>
          <w:sz w:val="24"/>
          <w:szCs w:val="24"/>
        </w:rPr>
        <w:t>.</w:t>
      </w:r>
      <w:r w:rsidR="0001012F">
        <w:rPr>
          <w:rFonts w:ascii="Garamond" w:hAnsi="Garamond" w:cs="Times New Roman"/>
          <w:bCs/>
          <w:sz w:val="24"/>
          <w:szCs w:val="24"/>
        </w:rPr>
        <w:t xml:space="preserve"> </w:t>
      </w:r>
    </w:p>
    <w:p w:rsidR="00544631" w:rsidRPr="00544631" w:rsidRDefault="00544631" w:rsidP="00544631">
      <w:pPr>
        <w:ind w:firstLine="720"/>
        <w:jc w:val="both"/>
        <w:rPr>
          <w:rFonts w:ascii="Garamond" w:hAnsi="Garamond" w:cs="Times New Roman"/>
          <w:bCs/>
          <w:sz w:val="24"/>
          <w:szCs w:val="24"/>
          <w:u w:val="single"/>
        </w:rPr>
      </w:pPr>
      <w:r>
        <w:rPr>
          <w:rFonts w:ascii="Garamond" w:hAnsi="Garamond" w:cs="Times New Roman"/>
          <w:bCs/>
          <w:sz w:val="24"/>
          <w:szCs w:val="24"/>
          <w:u w:val="single"/>
        </w:rPr>
        <w:t>Background</w:t>
      </w:r>
    </w:p>
    <w:p w:rsidR="005B105A" w:rsidRDefault="008C651D" w:rsidP="00544631">
      <w:pPr>
        <w:ind w:firstLine="720"/>
        <w:jc w:val="both"/>
        <w:rPr>
          <w:rFonts w:ascii="Garamond" w:hAnsi="Garamond"/>
          <w:sz w:val="24"/>
          <w:szCs w:val="24"/>
        </w:rPr>
      </w:pPr>
      <w:r w:rsidRPr="002B1CFF">
        <w:rPr>
          <w:rFonts w:ascii="Garamond" w:hAnsi="Garamond" w:cs="Times New Roman"/>
          <w:bCs/>
          <w:sz w:val="24"/>
          <w:szCs w:val="24"/>
        </w:rPr>
        <w:t xml:space="preserve">As the proposed rule details, numerous produce outbreaks have rattled consumer confidence in </w:t>
      </w:r>
      <w:r w:rsidR="00BD56DF" w:rsidRPr="002B1CFF">
        <w:rPr>
          <w:rFonts w:ascii="Garamond" w:hAnsi="Garamond" w:cs="Times New Roman"/>
          <w:bCs/>
          <w:sz w:val="24"/>
          <w:szCs w:val="24"/>
        </w:rPr>
        <w:t>recent years</w:t>
      </w:r>
      <w:r w:rsidRPr="002B1CFF">
        <w:rPr>
          <w:rFonts w:ascii="Garamond" w:hAnsi="Garamond" w:cs="Times New Roman"/>
          <w:bCs/>
          <w:sz w:val="24"/>
          <w:szCs w:val="24"/>
        </w:rPr>
        <w:t xml:space="preserve">. </w:t>
      </w:r>
      <w:r w:rsidR="002B1CFF" w:rsidRPr="002B1CFF">
        <w:rPr>
          <w:rFonts w:ascii="Garamond" w:hAnsi="Garamond" w:cs="Times New Roman"/>
          <w:bCs/>
          <w:sz w:val="24"/>
          <w:szCs w:val="24"/>
        </w:rPr>
        <w:t>Indeed, produce may represent the most important source of foodborne illness</w:t>
      </w:r>
      <w:r w:rsidR="00212622">
        <w:rPr>
          <w:rFonts w:ascii="Garamond" w:hAnsi="Garamond" w:cs="Times New Roman"/>
          <w:bCs/>
          <w:sz w:val="24"/>
          <w:szCs w:val="24"/>
        </w:rPr>
        <w:t xml:space="preserve"> in the United States</w:t>
      </w:r>
      <w:r w:rsidR="002B1CFF" w:rsidRPr="002B1CFF">
        <w:rPr>
          <w:rFonts w:ascii="Garamond" w:hAnsi="Garamond" w:cs="Times New Roman"/>
          <w:bCs/>
          <w:sz w:val="24"/>
          <w:szCs w:val="24"/>
        </w:rPr>
        <w:t>. A</w:t>
      </w:r>
      <w:r w:rsidR="002B1CFF" w:rsidRPr="002B1CFF">
        <w:rPr>
          <w:rFonts w:ascii="Garamond" w:hAnsi="Garamond"/>
          <w:sz w:val="24"/>
          <w:szCs w:val="24"/>
        </w:rPr>
        <w:t xml:space="preserve">ccording to the most recent foodborne illness attribution data, over half (55.9%) of </w:t>
      </w:r>
      <w:r w:rsidR="002B1CFF" w:rsidRPr="002B1CFF">
        <w:rPr>
          <w:rFonts w:ascii="Garamond" w:hAnsi="Garamond"/>
          <w:i/>
          <w:sz w:val="24"/>
          <w:szCs w:val="24"/>
        </w:rPr>
        <w:t>E. coli</w:t>
      </w:r>
      <w:r w:rsidR="002B1CFF" w:rsidRPr="002B1CFF">
        <w:rPr>
          <w:rFonts w:ascii="Garamond" w:hAnsi="Garamond"/>
          <w:sz w:val="24"/>
          <w:szCs w:val="24"/>
        </w:rPr>
        <w:t xml:space="preserve"> O157 illnesses were attributable to “Vegetable Row Crops (such as leafy greens),” while “Fruits,” “seeded vegetables (such as tomatoes)” and “Other Produce (such as fungi, herbs, nuts and root vegetables),” accounted for over a third (33.4%) of foodborne </w:t>
      </w:r>
      <w:r w:rsidR="002B1CFF" w:rsidRPr="002B1CFF">
        <w:rPr>
          <w:rFonts w:ascii="Garamond" w:hAnsi="Garamond"/>
          <w:i/>
          <w:sz w:val="24"/>
          <w:szCs w:val="24"/>
        </w:rPr>
        <w:t xml:space="preserve">Salmonella </w:t>
      </w:r>
      <w:r w:rsidR="002B1CFF" w:rsidRPr="002B1CFF">
        <w:rPr>
          <w:rFonts w:ascii="Garamond" w:hAnsi="Garamond"/>
          <w:sz w:val="24"/>
          <w:szCs w:val="24"/>
        </w:rPr>
        <w:t>infections.</w:t>
      </w:r>
      <w:r w:rsidR="002B1CFF" w:rsidRPr="002B1CFF">
        <w:rPr>
          <w:rStyle w:val="FootnoteReference"/>
          <w:rFonts w:ascii="Garamond" w:hAnsi="Garamond"/>
          <w:sz w:val="24"/>
          <w:szCs w:val="24"/>
        </w:rPr>
        <w:footnoteReference w:id="1"/>
      </w:r>
      <w:r w:rsidR="0001012F">
        <w:rPr>
          <w:rFonts w:ascii="Garamond" w:hAnsi="Garamond"/>
          <w:sz w:val="24"/>
          <w:szCs w:val="24"/>
        </w:rPr>
        <w:t xml:space="preserve"> </w:t>
      </w:r>
    </w:p>
    <w:p w:rsidR="00DA20AA" w:rsidRDefault="008C651D" w:rsidP="00544631">
      <w:pPr>
        <w:ind w:firstLine="720"/>
        <w:jc w:val="both"/>
        <w:rPr>
          <w:rFonts w:ascii="Garamond" w:hAnsi="Garamond"/>
          <w:sz w:val="24"/>
          <w:szCs w:val="24"/>
        </w:rPr>
      </w:pPr>
      <w:r w:rsidRPr="002B1CFF">
        <w:rPr>
          <w:rFonts w:ascii="Garamond" w:hAnsi="Garamond"/>
          <w:sz w:val="24"/>
          <w:szCs w:val="24"/>
        </w:rPr>
        <w:t xml:space="preserve">In addition to </w:t>
      </w:r>
      <w:r w:rsidR="00544631">
        <w:rPr>
          <w:rFonts w:ascii="Garamond" w:hAnsi="Garamond"/>
          <w:sz w:val="24"/>
          <w:szCs w:val="24"/>
        </w:rPr>
        <w:t>the suffering of</w:t>
      </w:r>
      <w:r w:rsidRPr="002B1CFF">
        <w:rPr>
          <w:rFonts w:ascii="Garamond" w:hAnsi="Garamond"/>
          <w:sz w:val="24"/>
          <w:szCs w:val="24"/>
        </w:rPr>
        <w:t xml:space="preserve"> foodborne illness victims, </w:t>
      </w:r>
      <w:r w:rsidR="00062EA3" w:rsidRPr="002B1CFF">
        <w:rPr>
          <w:rFonts w:ascii="Garamond" w:hAnsi="Garamond"/>
          <w:sz w:val="24"/>
          <w:szCs w:val="24"/>
        </w:rPr>
        <w:t xml:space="preserve">produce </w:t>
      </w:r>
      <w:r w:rsidR="0001012F">
        <w:rPr>
          <w:rFonts w:ascii="Garamond" w:hAnsi="Garamond"/>
          <w:sz w:val="24"/>
          <w:szCs w:val="24"/>
        </w:rPr>
        <w:t xml:space="preserve">outbreaks </w:t>
      </w:r>
      <w:r w:rsidR="00944F3D" w:rsidRPr="002B1CFF">
        <w:rPr>
          <w:rFonts w:ascii="Garamond" w:hAnsi="Garamond"/>
          <w:sz w:val="24"/>
          <w:szCs w:val="24"/>
        </w:rPr>
        <w:t xml:space="preserve">have wide-ranging </w:t>
      </w:r>
      <w:r w:rsidR="00544631">
        <w:rPr>
          <w:rFonts w:ascii="Garamond" w:hAnsi="Garamond"/>
          <w:sz w:val="24"/>
          <w:szCs w:val="24"/>
        </w:rPr>
        <w:t xml:space="preserve">impacts </w:t>
      </w:r>
      <w:r w:rsidR="00944F3D" w:rsidRPr="002B1CFF">
        <w:rPr>
          <w:rFonts w:ascii="Garamond" w:hAnsi="Garamond"/>
          <w:sz w:val="24"/>
          <w:szCs w:val="24"/>
        </w:rPr>
        <w:t>on public health. Ironically, to the extent that food safety concerns lead consumers to avoid produce</w:t>
      </w:r>
      <w:r w:rsidR="00944F3D">
        <w:rPr>
          <w:rFonts w:ascii="Garamond" w:hAnsi="Garamond"/>
          <w:sz w:val="24"/>
          <w:szCs w:val="24"/>
        </w:rPr>
        <w:t xml:space="preserve"> and opt for </w:t>
      </w:r>
      <w:r w:rsidR="00944F3D" w:rsidRPr="00D714F0">
        <w:rPr>
          <w:rFonts w:ascii="Garamond" w:hAnsi="Garamond"/>
          <w:sz w:val="24"/>
          <w:szCs w:val="24"/>
        </w:rPr>
        <w:t>less healthy foods</w:t>
      </w:r>
      <w:r w:rsidR="00944F3D">
        <w:rPr>
          <w:rFonts w:ascii="Garamond" w:hAnsi="Garamond"/>
          <w:sz w:val="24"/>
          <w:szCs w:val="24"/>
        </w:rPr>
        <w:t>, they</w:t>
      </w:r>
      <w:r w:rsidR="00944F3D" w:rsidRPr="00D714F0">
        <w:rPr>
          <w:rFonts w:ascii="Garamond" w:hAnsi="Garamond"/>
          <w:sz w:val="24"/>
          <w:szCs w:val="24"/>
        </w:rPr>
        <w:t xml:space="preserve"> may end up increasing the burden of foodborne illness</w:t>
      </w:r>
      <w:r w:rsidR="00944F3D">
        <w:rPr>
          <w:rFonts w:ascii="Garamond" w:hAnsi="Garamond"/>
          <w:sz w:val="24"/>
          <w:szCs w:val="24"/>
        </w:rPr>
        <w:t xml:space="preserve">, because food safety risk is tied to nutrition: studies show that eating healthier foods </w:t>
      </w:r>
      <w:r w:rsidR="005B105A">
        <w:rPr>
          <w:rFonts w:ascii="Garamond" w:hAnsi="Garamond"/>
          <w:sz w:val="24"/>
          <w:szCs w:val="24"/>
        </w:rPr>
        <w:t>boosts</w:t>
      </w:r>
      <w:r w:rsidR="00944F3D">
        <w:rPr>
          <w:rFonts w:ascii="Garamond" w:hAnsi="Garamond"/>
          <w:sz w:val="24"/>
          <w:szCs w:val="24"/>
        </w:rPr>
        <w:t xml:space="preserve"> individuals</w:t>
      </w:r>
      <w:r w:rsidR="005B105A">
        <w:rPr>
          <w:rFonts w:ascii="Garamond" w:hAnsi="Garamond"/>
          <w:sz w:val="24"/>
          <w:szCs w:val="24"/>
        </w:rPr>
        <w:t>’ immunity to</w:t>
      </w:r>
      <w:r w:rsidR="00944F3D">
        <w:rPr>
          <w:rFonts w:ascii="Garamond" w:hAnsi="Garamond"/>
          <w:sz w:val="24"/>
          <w:szCs w:val="24"/>
        </w:rPr>
        <w:t xml:space="preserve"> infection</w:t>
      </w:r>
      <w:r w:rsidR="00212622">
        <w:rPr>
          <w:rFonts w:ascii="Garamond" w:hAnsi="Garamond"/>
          <w:sz w:val="24"/>
          <w:szCs w:val="24"/>
        </w:rPr>
        <w:t>s</w:t>
      </w:r>
      <w:r w:rsidR="00944F3D">
        <w:rPr>
          <w:rFonts w:ascii="Garamond" w:hAnsi="Garamond"/>
          <w:sz w:val="24"/>
          <w:szCs w:val="24"/>
        </w:rPr>
        <w:t xml:space="preserve"> </w:t>
      </w:r>
      <w:r w:rsidR="00212622">
        <w:rPr>
          <w:rFonts w:ascii="Garamond" w:hAnsi="Garamond"/>
          <w:sz w:val="24"/>
          <w:szCs w:val="24"/>
        </w:rPr>
        <w:t>from</w:t>
      </w:r>
      <w:r w:rsidR="00944F3D">
        <w:rPr>
          <w:rFonts w:ascii="Garamond" w:hAnsi="Garamond"/>
          <w:sz w:val="24"/>
          <w:szCs w:val="24"/>
        </w:rPr>
        <w:t xml:space="preserve"> foodborne pathogen</w:t>
      </w:r>
      <w:r w:rsidR="00212622">
        <w:rPr>
          <w:rFonts w:ascii="Garamond" w:hAnsi="Garamond"/>
          <w:sz w:val="24"/>
          <w:szCs w:val="24"/>
        </w:rPr>
        <w:t>s</w:t>
      </w:r>
      <w:r w:rsidR="00944F3D">
        <w:rPr>
          <w:rFonts w:ascii="Garamond" w:hAnsi="Garamond"/>
          <w:sz w:val="24"/>
          <w:szCs w:val="24"/>
        </w:rPr>
        <w:t>.</w:t>
      </w:r>
      <w:r w:rsidR="00944F3D" w:rsidRPr="00D714F0">
        <w:rPr>
          <w:rStyle w:val="FootnoteReference"/>
          <w:rFonts w:ascii="Garamond" w:hAnsi="Garamond"/>
          <w:sz w:val="24"/>
          <w:szCs w:val="24"/>
        </w:rPr>
        <w:footnoteReference w:id="2"/>
      </w:r>
      <w:r w:rsidR="00944F3D">
        <w:rPr>
          <w:rFonts w:ascii="Garamond" w:hAnsi="Garamond"/>
          <w:sz w:val="24"/>
          <w:szCs w:val="24"/>
        </w:rPr>
        <w:t xml:space="preserve"> More generally, produce outbreaks </w:t>
      </w:r>
      <w:r w:rsidR="00062EA3">
        <w:rPr>
          <w:rFonts w:ascii="Garamond" w:hAnsi="Garamond"/>
          <w:sz w:val="24"/>
          <w:szCs w:val="24"/>
        </w:rPr>
        <w:t>threaten to exacerbate</w:t>
      </w:r>
      <w:r>
        <w:rPr>
          <w:rFonts w:ascii="Garamond" w:hAnsi="Garamond"/>
          <w:sz w:val="24"/>
          <w:szCs w:val="24"/>
        </w:rPr>
        <w:t xml:space="preserve"> unhealthy dietary </w:t>
      </w:r>
      <w:r>
        <w:rPr>
          <w:rFonts w:ascii="Garamond" w:hAnsi="Garamond"/>
          <w:sz w:val="24"/>
          <w:szCs w:val="24"/>
        </w:rPr>
        <w:lastRenderedPageBreak/>
        <w:t>trends</w:t>
      </w:r>
      <w:r w:rsidR="00062EA3">
        <w:rPr>
          <w:rFonts w:ascii="Garamond" w:hAnsi="Garamond"/>
          <w:sz w:val="24"/>
          <w:szCs w:val="24"/>
        </w:rPr>
        <w:t xml:space="preserve"> that </w:t>
      </w:r>
      <w:r w:rsidR="00BD56DF">
        <w:rPr>
          <w:rFonts w:ascii="Garamond" w:hAnsi="Garamond"/>
          <w:sz w:val="24"/>
          <w:szCs w:val="24"/>
        </w:rPr>
        <w:t xml:space="preserve">have </w:t>
      </w:r>
      <w:r w:rsidR="00B557E7">
        <w:rPr>
          <w:rFonts w:ascii="Garamond" w:hAnsi="Garamond"/>
          <w:sz w:val="24"/>
          <w:szCs w:val="24"/>
        </w:rPr>
        <w:t xml:space="preserve">created a </w:t>
      </w:r>
      <w:r w:rsidR="00944F3D">
        <w:rPr>
          <w:rFonts w:ascii="Garamond" w:hAnsi="Garamond"/>
          <w:sz w:val="24"/>
          <w:szCs w:val="24"/>
        </w:rPr>
        <w:t>tsunami of diet-related disease</w:t>
      </w:r>
      <w:r w:rsidR="00C8358C">
        <w:rPr>
          <w:rFonts w:ascii="Garamond" w:hAnsi="Garamond"/>
          <w:sz w:val="24"/>
          <w:szCs w:val="24"/>
        </w:rPr>
        <w:t xml:space="preserve"> and </w:t>
      </w:r>
      <w:r w:rsidR="00212622">
        <w:rPr>
          <w:rFonts w:ascii="Garamond" w:hAnsi="Garamond"/>
          <w:sz w:val="24"/>
          <w:szCs w:val="24"/>
        </w:rPr>
        <w:t>now cause</w:t>
      </w:r>
      <w:r w:rsidR="00C8358C">
        <w:rPr>
          <w:rFonts w:ascii="Garamond" w:hAnsi="Garamond"/>
          <w:sz w:val="24"/>
          <w:szCs w:val="24"/>
        </w:rPr>
        <w:t xml:space="preserve"> hundreds of thousands of premature deaths each year.</w:t>
      </w:r>
      <w:r w:rsidR="00C8358C">
        <w:rPr>
          <w:rStyle w:val="FootnoteReference"/>
          <w:rFonts w:ascii="Garamond" w:hAnsi="Garamond"/>
          <w:sz w:val="24"/>
          <w:szCs w:val="24"/>
        </w:rPr>
        <w:footnoteReference w:id="3"/>
      </w:r>
    </w:p>
    <w:p w:rsidR="005A6B64" w:rsidRDefault="00C8358C" w:rsidP="00544631">
      <w:pPr>
        <w:ind w:firstLine="720"/>
        <w:jc w:val="both"/>
        <w:rPr>
          <w:rFonts w:ascii="Garamond" w:hAnsi="Garamond"/>
          <w:sz w:val="24"/>
          <w:szCs w:val="24"/>
        </w:rPr>
      </w:pPr>
      <w:r>
        <w:rPr>
          <w:rFonts w:ascii="Garamond" w:hAnsi="Garamond"/>
          <w:sz w:val="24"/>
          <w:szCs w:val="24"/>
        </w:rPr>
        <w:t xml:space="preserve">FDA is therefore justified in imposing rules on growers that entail substantial costs, provided those rules result in safer produce and healthier diets. </w:t>
      </w:r>
      <w:r w:rsidR="005A6B64">
        <w:rPr>
          <w:rFonts w:ascii="Garamond" w:hAnsi="Garamond"/>
          <w:sz w:val="24"/>
          <w:szCs w:val="24"/>
        </w:rPr>
        <w:t>Congress recognized as much when it directed FDA in Section 105 of the Food Safety Modernization Act to promulgate “</w:t>
      </w:r>
      <w:r w:rsidR="005A6B64" w:rsidRPr="005A6B64">
        <w:rPr>
          <w:rFonts w:ascii="Garamond" w:hAnsi="Garamond"/>
          <w:sz w:val="24"/>
          <w:szCs w:val="24"/>
        </w:rPr>
        <w:t xml:space="preserve">science-based minimum standards related to </w:t>
      </w:r>
      <w:r w:rsidR="005A6B64">
        <w:rPr>
          <w:rFonts w:ascii="Garamond" w:hAnsi="Garamond"/>
          <w:sz w:val="24"/>
          <w:szCs w:val="24"/>
        </w:rPr>
        <w:t xml:space="preserve">. . . </w:t>
      </w:r>
      <w:r w:rsidR="005A6B64" w:rsidRPr="005A6B64">
        <w:rPr>
          <w:rFonts w:ascii="Garamond" w:hAnsi="Garamond"/>
          <w:sz w:val="24"/>
          <w:szCs w:val="24"/>
        </w:rPr>
        <w:t>water</w:t>
      </w:r>
      <w:r w:rsidR="005A6B64">
        <w:rPr>
          <w:rFonts w:ascii="Garamond" w:hAnsi="Garamond"/>
          <w:sz w:val="24"/>
          <w:szCs w:val="24"/>
        </w:rPr>
        <w:t xml:space="preserve">.” 21 U.S.C. </w:t>
      </w:r>
      <w:r w:rsidR="005A6B64" w:rsidRPr="00CF74DE">
        <w:rPr>
          <w:rFonts w:ascii="Garamond" w:hAnsi="Garamond"/>
          <w:sz w:val="24"/>
          <w:szCs w:val="24"/>
        </w:rPr>
        <w:t xml:space="preserve">§ </w:t>
      </w:r>
      <w:proofErr w:type="gramStart"/>
      <w:r w:rsidR="005A6B64">
        <w:rPr>
          <w:rFonts w:ascii="Garamond" w:hAnsi="Garamond"/>
          <w:sz w:val="24"/>
          <w:szCs w:val="24"/>
        </w:rPr>
        <w:t>350h(</w:t>
      </w:r>
      <w:proofErr w:type="gramEnd"/>
      <w:r w:rsidR="005A6B64">
        <w:rPr>
          <w:rFonts w:ascii="Garamond" w:hAnsi="Garamond"/>
          <w:sz w:val="24"/>
          <w:szCs w:val="24"/>
        </w:rPr>
        <w:t xml:space="preserve">a). </w:t>
      </w:r>
      <w:r w:rsidR="00CF74DE">
        <w:rPr>
          <w:rFonts w:ascii="Garamond" w:hAnsi="Garamond"/>
          <w:sz w:val="24"/>
          <w:szCs w:val="24"/>
        </w:rPr>
        <w:t>The proposed rule</w:t>
      </w:r>
      <w:r w:rsidR="005A6B64">
        <w:rPr>
          <w:rFonts w:ascii="Garamond" w:hAnsi="Garamond"/>
          <w:sz w:val="24"/>
          <w:szCs w:val="24"/>
        </w:rPr>
        <w:t xml:space="preserve">, however, does little to establish such “science-based minimum standards,” </w:t>
      </w:r>
      <w:r w:rsidR="00B663B1">
        <w:rPr>
          <w:rFonts w:ascii="Garamond" w:hAnsi="Garamond"/>
          <w:sz w:val="24"/>
          <w:szCs w:val="24"/>
        </w:rPr>
        <w:t xml:space="preserve">opting instead to </w:t>
      </w:r>
      <w:r w:rsidR="00CF74DE">
        <w:rPr>
          <w:rFonts w:ascii="Garamond" w:hAnsi="Garamond"/>
          <w:sz w:val="24"/>
          <w:szCs w:val="24"/>
        </w:rPr>
        <w:t>give</w:t>
      </w:r>
      <w:r w:rsidR="00B663B1">
        <w:rPr>
          <w:rFonts w:ascii="Garamond" w:hAnsi="Garamond"/>
          <w:sz w:val="24"/>
          <w:szCs w:val="24"/>
        </w:rPr>
        <w:t xml:space="preserve"> the industry discretion to regulate itself.</w:t>
      </w:r>
      <w:r w:rsidR="00CF74DE">
        <w:rPr>
          <w:rFonts w:ascii="Garamond" w:hAnsi="Garamond"/>
          <w:sz w:val="24"/>
          <w:szCs w:val="24"/>
        </w:rPr>
        <w:t xml:space="preserve"> </w:t>
      </w:r>
    </w:p>
    <w:p w:rsidR="00B663B1" w:rsidRDefault="005B105A" w:rsidP="00544631">
      <w:pPr>
        <w:ind w:firstLine="720"/>
        <w:jc w:val="both"/>
        <w:rPr>
          <w:rFonts w:ascii="Garamond" w:hAnsi="Garamond"/>
          <w:sz w:val="24"/>
          <w:szCs w:val="24"/>
        </w:rPr>
      </w:pPr>
      <w:r>
        <w:rPr>
          <w:rFonts w:ascii="Garamond" w:hAnsi="Garamond"/>
          <w:sz w:val="24"/>
          <w:szCs w:val="24"/>
        </w:rPr>
        <w:t xml:space="preserve">This approach contrasts sharply with </w:t>
      </w:r>
      <w:r w:rsidR="005A6B64">
        <w:rPr>
          <w:rFonts w:ascii="Garamond" w:hAnsi="Garamond"/>
          <w:sz w:val="24"/>
          <w:szCs w:val="24"/>
        </w:rPr>
        <w:t>t</w:t>
      </w:r>
      <w:r w:rsidR="00B663B1">
        <w:rPr>
          <w:rFonts w:ascii="Garamond" w:hAnsi="Garamond"/>
          <w:sz w:val="24"/>
          <w:szCs w:val="24"/>
        </w:rPr>
        <w:t>he agricultural water standards that FDA finalized in 2015</w:t>
      </w:r>
      <w:r>
        <w:rPr>
          <w:rFonts w:ascii="Garamond" w:hAnsi="Garamond"/>
          <w:sz w:val="24"/>
          <w:szCs w:val="24"/>
        </w:rPr>
        <w:t>. Under those standards,</w:t>
      </w:r>
      <w:r w:rsidR="00B663B1">
        <w:rPr>
          <w:rFonts w:ascii="Garamond" w:hAnsi="Garamond"/>
          <w:sz w:val="24"/>
          <w:szCs w:val="24"/>
        </w:rPr>
        <w:t xml:space="preserve"> microbial quality criteria and testing requirements </w:t>
      </w:r>
      <w:r>
        <w:rPr>
          <w:rFonts w:ascii="Garamond" w:hAnsi="Garamond"/>
          <w:sz w:val="24"/>
          <w:szCs w:val="24"/>
        </w:rPr>
        <w:t xml:space="preserve">defined </w:t>
      </w:r>
      <w:r w:rsidR="00B663B1">
        <w:rPr>
          <w:rFonts w:ascii="Garamond" w:hAnsi="Garamond"/>
          <w:sz w:val="24"/>
          <w:szCs w:val="24"/>
        </w:rPr>
        <w:t xml:space="preserve">what the agency considered “safe.” As the </w:t>
      </w:r>
      <w:r>
        <w:rPr>
          <w:rFonts w:ascii="Garamond" w:hAnsi="Garamond"/>
          <w:sz w:val="24"/>
          <w:szCs w:val="24"/>
        </w:rPr>
        <w:t>P</w:t>
      </w:r>
      <w:r w:rsidR="00B663B1">
        <w:rPr>
          <w:rFonts w:ascii="Garamond" w:hAnsi="Garamond"/>
          <w:sz w:val="24"/>
          <w:szCs w:val="24"/>
        </w:rPr>
        <w:t xml:space="preserve">roposed </w:t>
      </w:r>
      <w:r>
        <w:rPr>
          <w:rFonts w:ascii="Garamond" w:hAnsi="Garamond"/>
          <w:sz w:val="24"/>
          <w:szCs w:val="24"/>
        </w:rPr>
        <w:t>R</w:t>
      </w:r>
      <w:r w:rsidR="00B663B1">
        <w:rPr>
          <w:rFonts w:ascii="Garamond" w:hAnsi="Garamond"/>
          <w:sz w:val="24"/>
          <w:szCs w:val="24"/>
        </w:rPr>
        <w:t>ule points out, industry balked at these requirements, complaining that they were “</w:t>
      </w:r>
      <w:r w:rsidR="00B663B1" w:rsidRPr="00EE74ED">
        <w:rPr>
          <w:rFonts w:ascii="Garamond" w:hAnsi="Garamond"/>
          <w:sz w:val="24"/>
          <w:szCs w:val="24"/>
        </w:rPr>
        <w:t>too</w:t>
      </w:r>
      <w:r w:rsidR="00B663B1">
        <w:rPr>
          <w:rFonts w:ascii="Garamond" w:hAnsi="Garamond"/>
          <w:sz w:val="24"/>
          <w:szCs w:val="24"/>
        </w:rPr>
        <w:t xml:space="preserve"> </w:t>
      </w:r>
      <w:r w:rsidR="00B663B1" w:rsidRPr="00EE74ED">
        <w:rPr>
          <w:rFonts w:ascii="Garamond" w:hAnsi="Garamond"/>
          <w:sz w:val="24"/>
          <w:szCs w:val="24"/>
        </w:rPr>
        <w:t>complicated to understand</w:t>
      </w:r>
      <w:r w:rsidR="00B663B1">
        <w:rPr>
          <w:rFonts w:ascii="Garamond" w:hAnsi="Garamond"/>
          <w:sz w:val="24"/>
          <w:szCs w:val="24"/>
        </w:rPr>
        <w:t>,” and</w:t>
      </w:r>
      <w:r>
        <w:rPr>
          <w:rFonts w:ascii="Garamond" w:hAnsi="Garamond"/>
          <w:sz w:val="24"/>
          <w:szCs w:val="24"/>
        </w:rPr>
        <w:t xml:space="preserve"> did not</w:t>
      </w:r>
      <w:r w:rsidR="00B663B1">
        <w:rPr>
          <w:rFonts w:ascii="Garamond" w:hAnsi="Garamond"/>
          <w:sz w:val="24"/>
          <w:szCs w:val="24"/>
        </w:rPr>
        <w:t xml:space="preserve"> “</w:t>
      </w:r>
      <w:r w:rsidR="00B663B1" w:rsidRPr="00EE74ED">
        <w:rPr>
          <w:rFonts w:ascii="Garamond" w:hAnsi="Garamond"/>
          <w:sz w:val="24"/>
          <w:szCs w:val="24"/>
        </w:rPr>
        <w:t>sufficiently allow for a variety of</w:t>
      </w:r>
      <w:r w:rsidR="00B663B1">
        <w:rPr>
          <w:rFonts w:ascii="Garamond" w:hAnsi="Garamond"/>
          <w:sz w:val="24"/>
          <w:szCs w:val="24"/>
        </w:rPr>
        <w:t xml:space="preserve"> </w:t>
      </w:r>
      <w:r w:rsidR="00B663B1" w:rsidRPr="00EE74ED">
        <w:rPr>
          <w:rFonts w:ascii="Garamond" w:hAnsi="Garamond"/>
          <w:sz w:val="24"/>
          <w:szCs w:val="24"/>
        </w:rPr>
        <w:t>water uses and availabilities</w:t>
      </w:r>
      <w:r w:rsidR="00B663B1">
        <w:rPr>
          <w:rFonts w:ascii="Garamond" w:hAnsi="Garamond"/>
          <w:sz w:val="24"/>
          <w:szCs w:val="24"/>
        </w:rPr>
        <w:t xml:space="preserve">.” </w:t>
      </w:r>
      <w:r>
        <w:rPr>
          <w:rFonts w:ascii="Garamond" w:hAnsi="Garamond"/>
          <w:sz w:val="24"/>
          <w:szCs w:val="24"/>
        </w:rPr>
        <w:t>Under the P</w:t>
      </w:r>
      <w:r w:rsidR="00B663B1">
        <w:rPr>
          <w:rFonts w:ascii="Garamond" w:hAnsi="Garamond"/>
          <w:sz w:val="24"/>
          <w:szCs w:val="24"/>
        </w:rPr>
        <w:t>roposed</w:t>
      </w:r>
      <w:r w:rsidR="00CF74DE">
        <w:rPr>
          <w:rFonts w:ascii="Garamond" w:hAnsi="Garamond"/>
          <w:sz w:val="24"/>
          <w:szCs w:val="24"/>
        </w:rPr>
        <w:t xml:space="preserve"> </w:t>
      </w:r>
      <w:r>
        <w:rPr>
          <w:rFonts w:ascii="Garamond" w:hAnsi="Garamond"/>
          <w:sz w:val="24"/>
          <w:szCs w:val="24"/>
        </w:rPr>
        <w:t>R</w:t>
      </w:r>
      <w:r w:rsidR="00B663B1">
        <w:rPr>
          <w:rFonts w:ascii="Garamond" w:hAnsi="Garamond"/>
          <w:sz w:val="24"/>
          <w:szCs w:val="24"/>
        </w:rPr>
        <w:t xml:space="preserve">ule </w:t>
      </w:r>
      <w:r w:rsidR="00CF74DE" w:rsidRPr="00CF74DE">
        <w:rPr>
          <w:rFonts w:ascii="Garamond" w:hAnsi="Garamond"/>
          <w:sz w:val="24"/>
          <w:szCs w:val="24"/>
        </w:rPr>
        <w:t>§ 112.41</w:t>
      </w:r>
      <w:r>
        <w:rPr>
          <w:rFonts w:ascii="Garamond" w:hAnsi="Garamond"/>
          <w:sz w:val="24"/>
          <w:szCs w:val="24"/>
        </w:rPr>
        <w:t>, FDA now</w:t>
      </w:r>
      <w:r w:rsidR="00B663B1">
        <w:rPr>
          <w:rFonts w:ascii="Garamond" w:hAnsi="Garamond"/>
          <w:sz w:val="24"/>
          <w:szCs w:val="24"/>
        </w:rPr>
        <w:t xml:space="preserve"> simply</w:t>
      </w:r>
      <w:r w:rsidR="00CF74DE">
        <w:rPr>
          <w:rFonts w:ascii="Garamond" w:hAnsi="Garamond"/>
          <w:sz w:val="24"/>
          <w:szCs w:val="24"/>
        </w:rPr>
        <w:t xml:space="preserve"> require</w:t>
      </w:r>
      <w:r>
        <w:rPr>
          <w:rFonts w:ascii="Garamond" w:hAnsi="Garamond"/>
          <w:sz w:val="24"/>
          <w:szCs w:val="24"/>
        </w:rPr>
        <w:t>s</w:t>
      </w:r>
      <w:r w:rsidR="00CF74DE">
        <w:rPr>
          <w:rFonts w:ascii="Garamond" w:hAnsi="Garamond"/>
          <w:sz w:val="24"/>
          <w:szCs w:val="24"/>
        </w:rPr>
        <w:t xml:space="preserve"> that “[a]</w:t>
      </w:r>
      <w:proofErr w:type="spellStart"/>
      <w:r w:rsidR="00CF74DE" w:rsidRPr="00CF74DE">
        <w:rPr>
          <w:rFonts w:ascii="Garamond" w:hAnsi="Garamond"/>
          <w:sz w:val="24"/>
          <w:szCs w:val="24"/>
        </w:rPr>
        <w:t>ll</w:t>
      </w:r>
      <w:proofErr w:type="spellEnd"/>
      <w:r w:rsidR="00CF74DE" w:rsidRPr="00CF74DE">
        <w:rPr>
          <w:rFonts w:ascii="Garamond" w:hAnsi="Garamond"/>
          <w:sz w:val="24"/>
          <w:szCs w:val="24"/>
        </w:rPr>
        <w:t xml:space="preserve"> agricultural water must be safe</w:t>
      </w:r>
      <w:r w:rsidR="00CF74DE">
        <w:rPr>
          <w:rFonts w:ascii="Garamond" w:hAnsi="Garamond"/>
          <w:sz w:val="24"/>
          <w:szCs w:val="24"/>
        </w:rPr>
        <w:t xml:space="preserve"> </w:t>
      </w:r>
      <w:r w:rsidR="00CF74DE" w:rsidRPr="00CF74DE">
        <w:rPr>
          <w:rFonts w:ascii="Garamond" w:hAnsi="Garamond"/>
          <w:sz w:val="24"/>
          <w:szCs w:val="24"/>
        </w:rPr>
        <w:t>and of adequate sanitary quality for its</w:t>
      </w:r>
      <w:r w:rsidR="00CF74DE">
        <w:rPr>
          <w:rFonts w:ascii="Garamond" w:hAnsi="Garamond"/>
          <w:sz w:val="24"/>
          <w:szCs w:val="24"/>
        </w:rPr>
        <w:t xml:space="preserve"> </w:t>
      </w:r>
      <w:r w:rsidR="00CF74DE" w:rsidRPr="00CF74DE">
        <w:rPr>
          <w:rFonts w:ascii="Garamond" w:hAnsi="Garamond"/>
          <w:sz w:val="24"/>
          <w:szCs w:val="24"/>
        </w:rPr>
        <w:t>intended use.</w:t>
      </w:r>
      <w:r w:rsidR="00CF74DE">
        <w:rPr>
          <w:rFonts w:ascii="Garamond" w:hAnsi="Garamond"/>
          <w:sz w:val="24"/>
          <w:szCs w:val="24"/>
        </w:rPr>
        <w:t>”</w:t>
      </w:r>
      <w:r>
        <w:rPr>
          <w:rFonts w:ascii="Garamond" w:hAnsi="Garamond"/>
          <w:sz w:val="24"/>
          <w:szCs w:val="24"/>
        </w:rPr>
        <w:t xml:space="preserve"> However, the Proposed Rule</w:t>
      </w:r>
      <w:r w:rsidR="00CF74DE">
        <w:rPr>
          <w:rFonts w:ascii="Garamond" w:hAnsi="Garamond"/>
          <w:sz w:val="24"/>
          <w:szCs w:val="24"/>
        </w:rPr>
        <w:t xml:space="preserve"> </w:t>
      </w:r>
      <w:r>
        <w:rPr>
          <w:rFonts w:ascii="Garamond" w:hAnsi="Garamond"/>
          <w:sz w:val="24"/>
          <w:szCs w:val="24"/>
        </w:rPr>
        <w:t xml:space="preserve">leaves open </w:t>
      </w:r>
      <w:r w:rsidR="00212622">
        <w:rPr>
          <w:rFonts w:ascii="Garamond" w:hAnsi="Garamond"/>
          <w:sz w:val="24"/>
          <w:szCs w:val="24"/>
        </w:rPr>
        <w:t xml:space="preserve">to interpretation </w:t>
      </w:r>
      <w:r w:rsidR="00CF74DE">
        <w:rPr>
          <w:rFonts w:ascii="Garamond" w:hAnsi="Garamond"/>
          <w:sz w:val="24"/>
          <w:szCs w:val="24"/>
        </w:rPr>
        <w:t>what</w:t>
      </w:r>
      <w:r w:rsidR="00EE74ED">
        <w:rPr>
          <w:rFonts w:ascii="Garamond" w:hAnsi="Garamond"/>
          <w:sz w:val="24"/>
          <w:szCs w:val="24"/>
        </w:rPr>
        <w:t xml:space="preserve"> </w:t>
      </w:r>
      <w:r w:rsidR="00212622">
        <w:rPr>
          <w:rFonts w:ascii="Garamond" w:hAnsi="Garamond"/>
          <w:sz w:val="24"/>
          <w:szCs w:val="24"/>
        </w:rPr>
        <w:t xml:space="preserve">exactly </w:t>
      </w:r>
      <w:r w:rsidR="00EE74ED">
        <w:rPr>
          <w:rFonts w:ascii="Garamond" w:hAnsi="Garamond"/>
          <w:sz w:val="24"/>
          <w:szCs w:val="24"/>
        </w:rPr>
        <w:t xml:space="preserve">this means. </w:t>
      </w:r>
    </w:p>
    <w:p w:rsidR="00544631" w:rsidRPr="00544631" w:rsidRDefault="00544631" w:rsidP="00544631">
      <w:pPr>
        <w:ind w:firstLine="720"/>
        <w:jc w:val="both"/>
        <w:rPr>
          <w:rFonts w:ascii="Garamond" w:hAnsi="Garamond"/>
          <w:sz w:val="24"/>
          <w:szCs w:val="24"/>
          <w:u w:val="single"/>
        </w:rPr>
      </w:pPr>
      <w:r>
        <w:rPr>
          <w:rFonts w:ascii="Garamond" w:hAnsi="Garamond"/>
          <w:sz w:val="24"/>
          <w:szCs w:val="24"/>
          <w:u w:val="single"/>
        </w:rPr>
        <w:t>FDA Should Require that Water Assessments Include Validated Microbial Testing</w:t>
      </w:r>
    </w:p>
    <w:p w:rsidR="006362EF" w:rsidRDefault="00B663B1" w:rsidP="00544631">
      <w:pPr>
        <w:ind w:firstLine="720"/>
        <w:jc w:val="both"/>
        <w:rPr>
          <w:rFonts w:ascii="Garamond" w:hAnsi="Garamond"/>
          <w:sz w:val="24"/>
          <w:szCs w:val="24"/>
        </w:rPr>
      </w:pPr>
      <w:r>
        <w:rPr>
          <w:rFonts w:ascii="Garamond" w:hAnsi="Garamond"/>
          <w:sz w:val="24"/>
          <w:szCs w:val="24"/>
        </w:rPr>
        <w:t xml:space="preserve">Bright line, numerical, microbial water quality criteria have their advantages. As CFA wrote in comments on FDA’s </w:t>
      </w:r>
      <w:r w:rsidR="005B105A">
        <w:rPr>
          <w:rFonts w:ascii="Garamond" w:hAnsi="Garamond"/>
          <w:sz w:val="24"/>
          <w:szCs w:val="24"/>
        </w:rPr>
        <w:t>first effort to promulgate</w:t>
      </w:r>
      <w:r>
        <w:rPr>
          <w:rFonts w:ascii="Garamond" w:hAnsi="Garamond"/>
          <w:sz w:val="24"/>
          <w:szCs w:val="24"/>
        </w:rPr>
        <w:t xml:space="preserve"> water standards</w:t>
      </w:r>
      <w:r w:rsidR="005B105A">
        <w:rPr>
          <w:rFonts w:ascii="Garamond" w:hAnsi="Garamond"/>
          <w:sz w:val="24"/>
          <w:szCs w:val="24"/>
        </w:rPr>
        <w:t>, back</w:t>
      </w:r>
      <w:r>
        <w:rPr>
          <w:rFonts w:ascii="Garamond" w:hAnsi="Garamond"/>
          <w:sz w:val="24"/>
          <w:szCs w:val="24"/>
        </w:rPr>
        <w:t xml:space="preserve"> in 2013</w:t>
      </w:r>
      <w:r w:rsidR="00913826">
        <w:rPr>
          <w:rFonts w:ascii="Garamond" w:hAnsi="Garamond"/>
          <w:sz w:val="24"/>
          <w:szCs w:val="24"/>
        </w:rPr>
        <w:t>, a</w:t>
      </w:r>
      <w:r>
        <w:rPr>
          <w:rFonts w:ascii="Garamond" w:hAnsi="Garamond"/>
          <w:sz w:val="24"/>
          <w:szCs w:val="24"/>
        </w:rPr>
        <w:t xml:space="preserve"> </w:t>
      </w:r>
      <w:r w:rsidRPr="00B663B1">
        <w:rPr>
          <w:rFonts w:ascii="Garamond" w:hAnsi="Garamond"/>
          <w:sz w:val="24"/>
          <w:szCs w:val="24"/>
        </w:rPr>
        <w:t>numerical standard is appropriate where the effectiveness of individual measures, such as the</w:t>
      </w:r>
      <w:r>
        <w:rPr>
          <w:rFonts w:ascii="Garamond" w:hAnsi="Garamond"/>
          <w:sz w:val="24"/>
          <w:szCs w:val="24"/>
        </w:rPr>
        <w:t xml:space="preserve"> </w:t>
      </w:r>
      <w:r w:rsidRPr="00B663B1">
        <w:rPr>
          <w:rFonts w:ascii="Garamond" w:hAnsi="Garamond"/>
          <w:sz w:val="24"/>
          <w:szCs w:val="24"/>
        </w:rPr>
        <w:t>protection of agricultural water sources from contamination, is not complete or fully known. It is also</w:t>
      </w:r>
      <w:r>
        <w:rPr>
          <w:rFonts w:ascii="Garamond" w:hAnsi="Garamond"/>
          <w:sz w:val="24"/>
          <w:szCs w:val="24"/>
        </w:rPr>
        <w:t xml:space="preserve"> </w:t>
      </w:r>
      <w:r w:rsidRPr="00B663B1">
        <w:rPr>
          <w:rFonts w:ascii="Garamond" w:hAnsi="Garamond"/>
          <w:sz w:val="24"/>
          <w:szCs w:val="24"/>
        </w:rPr>
        <w:t>appropriate because the quality of a particular water source (such as surface water) may be outside the</w:t>
      </w:r>
      <w:r>
        <w:rPr>
          <w:rFonts w:ascii="Garamond" w:hAnsi="Garamond"/>
          <w:sz w:val="24"/>
          <w:szCs w:val="24"/>
        </w:rPr>
        <w:t xml:space="preserve"> </w:t>
      </w:r>
      <w:r w:rsidRPr="00B663B1">
        <w:rPr>
          <w:rFonts w:ascii="Garamond" w:hAnsi="Garamond"/>
          <w:sz w:val="24"/>
          <w:szCs w:val="24"/>
        </w:rPr>
        <w:t xml:space="preserve">control of the farm. A numerical standard </w:t>
      </w:r>
      <w:r w:rsidR="00544631">
        <w:rPr>
          <w:rFonts w:ascii="Garamond" w:hAnsi="Garamond"/>
          <w:sz w:val="24"/>
          <w:szCs w:val="24"/>
        </w:rPr>
        <w:t>also</w:t>
      </w:r>
      <w:r w:rsidRPr="00B663B1">
        <w:rPr>
          <w:rFonts w:ascii="Garamond" w:hAnsi="Garamond"/>
          <w:sz w:val="24"/>
          <w:szCs w:val="24"/>
        </w:rPr>
        <w:t xml:space="preserve"> provide</w:t>
      </w:r>
      <w:r w:rsidR="00544631">
        <w:rPr>
          <w:rFonts w:ascii="Garamond" w:hAnsi="Garamond"/>
          <w:sz w:val="24"/>
          <w:szCs w:val="24"/>
        </w:rPr>
        <w:t>s</w:t>
      </w:r>
      <w:r w:rsidRPr="00B663B1">
        <w:rPr>
          <w:rFonts w:ascii="Garamond" w:hAnsi="Garamond"/>
          <w:sz w:val="24"/>
          <w:szCs w:val="24"/>
        </w:rPr>
        <w:t xml:space="preserve"> some objective evidence that the</w:t>
      </w:r>
      <w:r>
        <w:rPr>
          <w:rFonts w:ascii="Garamond" w:hAnsi="Garamond"/>
          <w:sz w:val="24"/>
          <w:szCs w:val="24"/>
        </w:rPr>
        <w:t xml:space="preserve"> </w:t>
      </w:r>
      <w:r w:rsidRPr="00B663B1">
        <w:rPr>
          <w:rFonts w:ascii="Garamond" w:hAnsi="Garamond"/>
          <w:sz w:val="24"/>
          <w:szCs w:val="24"/>
        </w:rPr>
        <w:t>water system is functioning adequately and corrective actions employed by the farmer are working as</w:t>
      </w:r>
      <w:r>
        <w:rPr>
          <w:rFonts w:ascii="Garamond" w:hAnsi="Garamond"/>
          <w:sz w:val="24"/>
          <w:szCs w:val="24"/>
        </w:rPr>
        <w:t xml:space="preserve"> </w:t>
      </w:r>
      <w:r w:rsidRPr="00B663B1">
        <w:rPr>
          <w:rFonts w:ascii="Garamond" w:hAnsi="Garamond"/>
          <w:sz w:val="24"/>
          <w:szCs w:val="24"/>
        </w:rPr>
        <w:t xml:space="preserve">intended. </w:t>
      </w:r>
      <w:r w:rsidR="00544631">
        <w:rPr>
          <w:rFonts w:ascii="Garamond" w:hAnsi="Garamond"/>
          <w:sz w:val="24"/>
          <w:szCs w:val="24"/>
        </w:rPr>
        <w:t>Finally, we noted that</w:t>
      </w:r>
      <w:r w:rsidRPr="00B663B1">
        <w:rPr>
          <w:rFonts w:ascii="Garamond" w:hAnsi="Garamond"/>
          <w:sz w:val="24"/>
          <w:szCs w:val="24"/>
        </w:rPr>
        <w:t xml:space="preserve"> </w:t>
      </w:r>
      <w:r w:rsidR="00544631">
        <w:rPr>
          <w:rFonts w:ascii="Garamond" w:hAnsi="Garamond"/>
          <w:sz w:val="24"/>
          <w:szCs w:val="24"/>
        </w:rPr>
        <w:t>the</w:t>
      </w:r>
      <w:r w:rsidRPr="00B663B1">
        <w:rPr>
          <w:rFonts w:ascii="Garamond" w:hAnsi="Garamond"/>
          <w:sz w:val="24"/>
          <w:szCs w:val="24"/>
        </w:rPr>
        <w:t xml:space="preserve"> </w:t>
      </w:r>
      <w:r w:rsidRPr="00B663B1">
        <w:rPr>
          <w:rFonts w:ascii="Garamond" w:hAnsi="Garamond"/>
          <w:sz w:val="24"/>
          <w:szCs w:val="24"/>
        </w:rPr>
        <w:lastRenderedPageBreak/>
        <w:t xml:space="preserve">numerical standard specified in the regulation </w:t>
      </w:r>
      <w:r w:rsidR="00544631">
        <w:rPr>
          <w:rFonts w:ascii="Garamond" w:hAnsi="Garamond"/>
          <w:sz w:val="24"/>
          <w:szCs w:val="24"/>
        </w:rPr>
        <w:t>would</w:t>
      </w:r>
      <w:r w:rsidRPr="00B663B1">
        <w:rPr>
          <w:rFonts w:ascii="Garamond" w:hAnsi="Garamond"/>
          <w:sz w:val="24"/>
          <w:szCs w:val="24"/>
        </w:rPr>
        <w:t xml:space="preserve"> provide FDA with a clear and</w:t>
      </w:r>
      <w:r>
        <w:rPr>
          <w:rFonts w:ascii="Garamond" w:hAnsi="Garamond"/>
          <w:sz w:val="24"/>
          <w:szCs w:val="24"/>
        </w:rPr>
        <w:t xml:space="preserve"> </w:t>
      </w:r>
      <w:r w:rsidRPr="00B663B1">
        <w:rPr>
          <w:rFonts w:ascii="Garamond" w:hAnsi="Garamond"/>
          <w:sz w:val="24"/>
          <w:szCs w:val="24"/>
        </w:rPr>
        <w:t>enforceable way to hold farmers accountable for checking and maintaining their water systems.</w:t>
      </w:r>
    </w:p>
    <w:p w:rsidR="00246D2E" w:rsidRDefault="006362EF" w:rsidP="00544631">
      <w:pPr>
        <w:ind w:firstLine="720"/>
        <w:jc w:val="both"/>
        <w:rPr>
          <w:rFonts w:ascii="Garamond" w:hAnsi="Garamond"/>
          <w:sz w:val="24"/>
          <w:szCs w:val="24"/>
        </w:rPr>
      </w:pPr>
      <w:r>
        <w:rPr>
          <w:rFonts w:ascii="Garamond" w:hAnsi="Garamond"/>
          <w:sz w:val="24"/>
          <w:szCs w:val="24"/>
        </w:rPr>
        <w:t>To be sure, if a testing regime and related numerical standard</w:t>
      </w:r>
      <w:r w:rsidR="00E20A02">
        <w:rPr>
          <w:rFonts w:ascii="Garamond" w:hAnsi="Garamond"/>
          <w:sz w:val="24"/>
          <w:szCs w:val="24"/>
        </w:rPr>
        <w:t>s</w:t>
      </w:r>
      <w:r>
        <w:rPr>
          <w:rFonts w:ascii="Garamond" w:hAnsi="Garamond"/>
          <w:sz w:val="24"/>
          <w:szCs w:val="24"/>
        </w:rPr>
        <w:t xml:space="preserve"> lack a meaningful correlation</w:t>
      </w:r>
      <w:r w:rsidR="00212622">
        <w:rPr>
          <w:rFonts w:ascii="Garamond" w:hAnsi="Garamond"/>
          <w:sz w:val="24"/>
          <w:szCs w:val="24"/>
        </w:rPr>
        <w:t xml:space="preserve"> to safety, they may provide mere</w:t>
      </w:r>
      <w:r>
        <w:rPr>
          <w:rFonts w:ascii="Garamond" w:hAnsi="Garamond"/>
          <w:sz w:val="24"/>
          <w:szCs w:val="24"/>
        </w:rPr>
        <w:t xml:space="preserve"> false assurance</w:t>
      </w:r>
      <w:r w:rsidR="00212622">
        <w:rPr>
          <w:rFonts w:ascii="Garamond" w:hAnsi="Garamond"/>
          <w:sz w:val="24"/>
          <w:szCs w:val="24"/>
        </w:rPr>
        <w:t>s</w:t>
      </w:r>
      <w:r w:rsidR="00544631">
        <w:rPr>
          <w:rFonts w:ascii="Garamond" w:hAnsi="Garamond"/>
          <w:sz w:val="24"/>
          <w:szCs w:val="24"/>
        </w:rPr>
        <w:t xml:space="preserve">. As noted in our joint comments, recent evidence, and outbreak experiences, have called into question the extent to which growers can rely on generic </w:t>
      </w:r>
      <w:proofErr w:type="spellStart"/>
      <w:r w:rsidR="00544631">
        <w:rPr>
          <w:rFonts w:ascii="Garamond" w:hAnsi="Garamond"/>
          <w:i/>
          <w:sz w:val="24"/>
          <w:szCs w:val="24"/>
        </w:rPr>
        <w:t>e.coli</w:t>
      </w:r>
      <w:proofErr w:type="spellEnd"/>
      <w:r w:rsidR="00544631">
        <w:rPr>
          <w:rFonts w:ascii="Garamond" w:hAnsi="Garamond"/>
          <w:i/>
          <w:sz w:val="24"/>
          <w:szCs w:val="24"/>
        </w:rPr>
        <w:t xml:space="preserve"> </w:t>
      </w:r>
      <w:r w:rsidR="00544631">
        <w:rPr>
          <w:rFonts w:ascii="Garamond" w:hAnsi="Garamond"/>
          <w:sz w:val="24"/>
          <w:szCs w:val="24"/>
        </w:rPr>
        <w:t xml:space="preserve">testing to validate safety protocols. Nevertheless, </w:t>
      </w:r>
      <w:r w:rsidR="00E20A02">
        <w:rPr>
          <w:rFonts w:ascii="Garamond" w:hAnsi="Garamond"/>
          <w:sz w:val="24"/>
          <w:szCs w:val="24"/>
        </w:rPr>
        <w:t xml:space="preserve">FDA should not go so far as to abandon </w:t>
      </w:r>
      <w:r w:rsidR="00DE3BA9">
        <w:rPr>
          <w:rFonts w:ascii="Garamond" w:hAnsi="Garamond"/>
          <w:sz w:val="24"/>
          <w:szCs w:val="24"/>
        </w:rPr>
        <w:t xml:space="preserve">a microbial testing requirement altogether. </w:t>
      </w:r>
      <w:r w:rsidR="00067B8B">
        <w:rPr>
          <w:rFonts w:ascii="Garamond" w:hAnsi="Garamond"/>
          <w:sz w:val="24"/>
          <w:szCs w:val="24"/>
        </w:rPr>
        <w:t xml:space="preserve">At the very least, the agency should </w:t>
      </w:r>
      <w:r w:rsidR="00544631">
        <w:rPr>
          <w:rFonts w:ascii="Garamond" w:hAnsi="Garamond"/>
          <w:sz w:val="24"/>
          <w:szCs w:val="24"/>
        </w:rPr>
        <w:t xml:space="preserve">direct growers to incorporate some form of </w:t>
      </w:r>
      <w:r w:rsidR="00212622">
        <w:rPr>
          <w:rFonts w:ascii="Garamond" w:hAnsi="Garamond"/>
          <w:sz w:val="24"/>
          <w:szCs w:val="24"/>
        </w:rPr>
        <w:t>validated microbial testing into the annual water quality assessment required under the Proposed Rule</w:t>
      </w:r>
      <w:r w:rsidR="00246D2E">
        <w:rPr>
          <w:rFonts w:ascii="Garamond" w:hAnsi="Garamond"/>
          <w:sz w:val="24"/>
          <w:szCs w:val="24"/>
        </w:rPr>
        <w:t xml:space="preserve">. </w:t>
      </w:r>
    </w:p>
    <w:p w:rsidR="005D65A8" w:rsidRDefault="00246D2E" w:rsidP="00544631">
      <w:pPr>
        <w:ind w:firstLine="720"/>
        <w:jc w:val="both"/>
        <w:rPr>
          <w:rFonts w:ascii="Garamond" w:hAnsi="Garamond"/>
          <w:sz w:val="24"/>
          <w:szCs w:val="24"/>
        </w:rPr>
      </w:pPr>
      <w:r>
        <w:rPr>
          <w:rFonts w:ascii="Garamond" w:hAnsi="Garamond"/>
          <w:sz w:val="24"/>
          <w:szCs w:val="24"/>
        </w:rPr>
        <w:t>FDA may grant</w:t>
      </w:r>
      <w:r w:rsidR="00067B8B">
        <w:rPr>
          <w:rFonts w:ascii="Garamond" w:hAnsi="Garamond"/>
          <w:sz w:val="24"/>
          <w:szCs w:val="24"/>
        </w:rPr>
        <w:t xml:space="preserve"> flexibility in how test results</w:t>
      </w:r>
      <w:r>
        <w:rPr>
          <w:rFonts w:ascii="Garamond" w:hAnsi="Garamond"/>
          <w:sz w:val="24"/>
          <w:szCs w:val="24"/>
        </w:rPr>
        <w:t xml:space="preserve"> are interpreted, but e</w:t>
      </w:r>
      <w:r w:rsidR="00DE3BA9">
        <w:rPr>
          <w:rFonts w:ascii="Garamond" w:hAnsi="Garamond"/>
          <w:sz w:val="24"/>
          <w:szCs w:val="24"/>
        </w:rPr>
        <w:t xml:space="preserve">ven </w:t>
      </w:r>
      <w:r w:rsidR="008223D3">
        <w:rPr>
          <w:rFonts w:ascii="Garamond" w:hAnsi="Garamond"/>
          <w:sz w:val="24"/>
          <w:szCs w:val="24"/>
        </w:rPr>
        <w:t>where</w:t>
      </w:r>
      <w:r w:rsidR="00DE3BA9">
        <w:rPr>
          <w:rFonts w:ascii="Garamond" w:hAnsi="Garamond"/>
          <w:sz w:val="24"/>
          <w:szCs w:val="24"/>
        </w:rPr>
        <w:t xml:space="preserve"> growers themselves </w:t>
      </w:r>
      <w:r w:rsidR="008223D3">
        <w:rPr>
          <w:rFonts w:ascii="Garamond" w:hAnsi="Garamond"/>
          <w:sz w:val="24"/>
          <w:szCs w:val="24"/>
        </w:rPr>
        <w:t xml:space="preserve">have discretion to </w:t>
      </w:r>
      <w:r w:rsidR="00DE3BA9">
        <w:rPr>
          <w:rFonts w:ascii="Garamond" w:hAnsi="Garamond"/>
          <w:sz w:val="24"/>
          <w:szCs w:val="24"/>
        </w:rPr>
        <w:t xml:space="preserve">specify the microbial criteria that determines whether water </w:t>
      </w:r>
      <w:r w:rsidR="008223D3">
        <w:rPr>
          <w:rFonts w:ascii="Garamond" w:hAnsi="Garamond"/>
          <w:sz w:val="24"/>
          <w:szCs w:val="24"/>
        </w:rPr>
        <w:t>is safe for its intended use, a requirement that water assessments rely on validated</w:t>
      </w:r>
      <w:r w:rsidR="00DD7710">
        <w:rPr>
          <w:rFonts w:ascii="Garamond" w:hAnsi="Garamond"/>
          <w:sz w:val="24"/>
          <w:szCs w:val="24"/>
        </w:rPr>
        <w:t xml:space="preserve"> microbial testing offers many of the</w:t>
      </w:r>
      <w:r w:rsidR="008223D3">
        <w:rPr>
          <w:rFonts w:ascii="Garamond" w:hAnsi="Garamond"/>
          <w:sz w:val="24"/>
          <w:szCs w:val="24"/>
        </w:rPr>
        <w:t xml:space="preserve"> benefits</w:t>
      </w:r>
      <w:r w:rsidR="005D65A8">
        <w:rPr>
          <w:rFonts w:ascii="Garamond" w:hAnsi="Garamond"/>
          <w:sz w:val="24"/>
          <w:szCs w:val="24"/>
        </w:rPr>
        <w:t xml:space="preserve"> </w:t>
      </w:r>
      <w:r w:rsidR="00067B8B">
        <w:rPr>
          <w:rFonts w:ascii="Garamond" w:hAnsi="Garamond"/>
          <w:sz w:val="24"/>
          <w:szCs w:val="24"/>
        </w:rPr>
        <w:t xml:space="preserve">associated with </w:t>
      </w:r>
      <w:r w:rsidR="00544631">
        <w:rPr>
          <w:rFonts w:ascii="Garamond" w:hAnsi="Garamond"/>
          <w:sz w:val="24"/>
          <w:szCs w:val="24"/>
        </w:rPr>
        <w:t>the</w:t>
      </w:r>
      <w:r w:rsidR="00E20A02">
        <w:rPr>
          <w:rFonts w:ascii="Garamond" w:hAnsi="Garamond"/>
          <w:sz w:val="24"/>
          <w:szCs w:val="24"/>
        </w:rPr>
        <w:t xml:space="preserve"> numerical microbial standard</w:t>
      </w:r>
      <w:r w:rsidR="00544631">
        <w:rPr>
          <w:rFonts w:ascii="Garamond" w:hAnsi="Garamond"/>
          <w:sz w:val="24"/>
          <w:szCs w:val="24"/>
        </w:rPr>
        <w:t xml:space="preserve"> that FDA now seeks to formally abandon</w:t>
      </w:r>
      <w:r w:rsidR="00067B8B">
        <w:rPr>
          <w:rFonts w:ascii="Garamond" w:hAnsi="Garamond"/>
          <w:sz w:val="24"/>
          <w:szCs w:val="24"/>
        </w:rPr>
        <w:t>. Like a numerical standard,</w:t>
      </w:r>
      <w:r w:rsidR="00E20A02">
        <w:rPr>
          <w:rFonts w:ascii="Garamond" w:hAnsi="Garamond"/>
          <w:sz w:val="24"/>
          <w:szCs w:val="24"/>
        </w:rPr>
        <w:t xml:space="preserve"> </w:t>
      </w:r>
      <w:r w:rsidR="00DD7710">
        <w:rPr>
          <w:rFonts w:ascii="Garamond" w:hAnsi="Garamond"/>
          <w:sz w:val="24"/>
          <w:szCs w:val="24"/>
        </w:rPr>
        <w:t xml:space="preserve">a </w:t>
      </w:r>
      <w:r w:rsidR="00E20A02">
        <w:rPr>
          <w:rFonts w:ascii="Garamond" w:hAnsi="Garamond"/>
          <w:sz w:val="24"/>
          <w:szCs w:val="24"/>
        </w:rPr>
        <w:t>v</w:t>
      </w:r>
      <w:r w:rsidR="008223D3">
        <w:rPr>
          <w:rFonts w:ascii="Garamond" w:hAnsi="Garamond"/>
          <w:sz w:val="24"/>
          <w:szCs w:val="24"/>
        </w:rPr>
        <w:t xml:space="preserve">alidated testing </w:t>
      </w:r>
      <w:r w:rsidR="00DD7710">
        <w:rPr>
          <w:rFonts w:ascii="Garamond" w:hAnsi="Garamond"/>
          <w:sz w:val="24"/>
          <w:szCs w:val="24"/>
        </w:rPr>
        <w:t xml:space="preserve">requirement will compensate for inherent uncertainty in the water assessment. For example, the Proposed Rule justifiably requires </w:t>
      </w:r>
      <w:r w:rsidR="00DD7710" w:rsidRPr="00DD7710">
        <w:rPr>
          <w:rFonts w:ascii="Garamond" w:hAnsi="Garamond"/>
          <w:sz w:val="24"/>
          <w:szCs w:val="24"/>
        </w:rPr>
        <w:t>covered farms</w:t>
      </w:r>
      <w:r w:rsidR="00DD7710">
        <w:rPr>
          <w:rFonts w:ascii="Garamond" w:hAnsi="Garamond"/>
          <w:sz w:val="24"/>
          <w:szCs w:val="24"/>
        </w:rPr>
        <w:t xml:space="preserve"> to</w:t>
      </w:r>
      <w:r w:rsidR="00DD7710" w:rsidRPr="00DD7710">
        <w:rPr>
          <w:rFonts w:ascii="Garamond" w:hAnsi="Garamond"/>
          <w:sz w:val="24"/>
          <w:szCs w:val="24"/>
        </w:rPr>
        <w:t xml:space="preserve"> “consider adjacent and nearby land uses related to untreated or improperly treated human waste,” including “whether any portable toilet facilities on adjacent and nearby lands are appropriately located away from water sources and distribution.”</w:t>
      </w:r>
      <w:r w:rsidR="00DD7710">
        <w:rPr>
          <w:rFonts w:ascii="Garamond" w:hAnsi="Garamond"/>
          <w:sz w:val="24"/>
          <w:szCs w:val="24"/>
        </w:rPr>
        <w:t xml:space="preserve"> But since growers are not entitled to inspect their neighbors’ lands for portable toilets</w:t>
      </w:r>
      <w:r w:rsidR="00212622">
        <w:rPr>
          <w:rFonts w:ascii="Garamond" w:hAnsi="Garamond"/>
          <w:sz w:val="24"/>
          <w:szCs w:val="24"/>
        </w:rPr>
        <w:t xml:space="preserve"> or other hazards</w:t>
      </w:r>
      <w:r w:rsidR="00DD7710">
        <w:rPr>
          <w:rFonts w:ascii="Garamond" w:hAnsi="Garamond"/>
          <w:sz w:val="24"/>
          <w:szCs w:val="24"/>
        </w:rPr>
        <w:t>, many water assessments will necessarily omit such considerations. Microbial testing provides a check for overly optimistic assumptions about nearby land use</w:t>
      </w:r>
      <w:r w:rsidR="005D65A8">
        <w:rPr>
          <w:rFonts w:ascii="Garamond" w:hAnsi="Garamond"/>
          <w:sz w:val="24"/>
          <w:szCs w:val="24"/>
        </w:rPr>
        <w:t xml:space="preserve">. A testing requirement similarly may expose ineffective remediation, and in some cases, </w:t>
      </w:r>
      <w:r>
        <w:rPr>
          <w:rFonts w:ascii="Garamond" w:hAnsi="Garamond"/>
          <w:sz w:val="24"/>
          <w:szCs w:val="24"/>
        </w:rPr>
        <w:t>may</w:t>
      </w:r>
      <w:r w:rsidR="005D65A8">
        <w:rPr>
          <w:rFonts w:ascii="Garamond" w:hAnsi="Garamond"/>
          <w:sz w:val="24"/>
          <w:szCs w:val="24"/>
        </w:rPr>
        <w:t xml:space="preserve"> provide the grounds for FDA or state government inspectors to take enforcement action. </w:t>
      </w:r>
      <w:r w:rsidR="00544631">
        <w:rPr>
          <w:rFonts w:ascii="Garamond" w:hAnsi="Garamond"/>
          <w:sz w:val="24"/>
          <w:szCs w:val="24"/>
        </w:rPr>
        <w:t>In contrast</w:t>
      </w:r>
      <w:r w:rsidR="00067B8B">
        <w:rPr>
          <w:rFonts w:ascii="Garamond" w:hAnsi="Garamond"/>
          <w:sz w:val="24"/>
          <w:szCs w:val="24"/>
        </w:rPr>
        <w:t xml:space="preserve">, </w:t>
      </w:r>
      <w:r w:rsidR="00544631">
        <w:rPr>
          <w:rFonts w:ascii="Garamond" w:hAnsi="Garamond"/>
          <w:sz w:val="24"/>
          <w:szCs w:val="24"/>
        </w:rPr>
        <w:t xml:space="preserve">by </w:t>
      </w:r>
      <w:r w:rsidR="005D65A8">
        <w:rPr>
          <w:rFonts w:ascii="Garamond" w:hAnsi="Garamond"/>
          <w:sz w:val="24"/>
          <w:szCs w:val="24"/>
        </w:rPr>
        <w:t xml:space="preserve">declining to specify that </w:t>
      </w:r>
      <w:r w:rsidR="005D65A8">
        <w:rPr>
          <w:rFonts w:ascii="Garamond" w:hAnsi="Garamond"/>
          <w:sz w:val="24"/>
          <w:szCs w:val="24"/>
        </w:rPr>
        <w:lastRenderedPageBreak/>
        <w:t xml:space="preserve">growers </w:t>
      </w:r>
      <w:r w:rsidR="00067B8B">
        <w:rPr>
          <w:rFonts w:ascii="Garamond" w:hAnsi="Garamond"/>
          <w:sz w:val="24"/>
          <w:szCs w:val="24"/>
        </w:rPr>
        <w:t>must</w:t>
      </w:r>
      <w:r w:rsidR="005D65A8">
        <w:rPr>
          <w:rFonts w:ascii="Garamond" w:hAnsi="Garamond"/>
          <w:sz w:val="24"/>
          <w:szCs w:val="24"/>
        </w:rPr>
        <w:t xml:space="preserve"> incorp</w:t>
      </w:r>
      <w:r w:rsidR="00067B8B">
        <w:rPr>
          <w:rFonts w:ascii="Garamond" w:hAnsi="Garamond"/>
          <w:sz w:val="24"/>
          <w:szCs w:val="24"/>
        </w:rPr>
        <w:t>orate microbial testing into agricultural water assessments,</w:t>
      </w:r>
      <w:r w:rsidR="005D65A8">
        <w:rPr>
          <w:rFonts w:ascii="Garamond" w:hAnsi="Garamond"/>
          <w:sz w:val="24"/>
          <w:szCs w:val="24"/>
        </w:rPr>
        <w:t xml:space="preserve"> the Proposed Rule </w:t>
      </w:r>
      <w:r w:rsidR="00544631">
        <w:rPr>
          <w:rFonts w:ascii="Garamond" w:hAnsi="Garamond"/>
          <w:sz w:val="24"/>
          <w:szCs w:val="24"/>
        </w:rPr>
        <w:t xml:space="preserve">may actually create </w:t>
      </w:r>
      <w:r w:rsidR="00067B8B">
        <w:rPr>
          <w:rFonts w:ascii="Garamond" w:hAnsi="Garamond"/>
          <w:sz w:val="24"/>
          <w:szCs w:val="24"/>
        </w:rPr>
        <w:t xml:space="preserve">a perverse incentive for some growers to </w:t>
      </w:r>
      <w:r w:rsidR="00B73823">
        <w:rPr>
          <w:rFonts w:ascii="Garamond" w:hAnsi="Garamond"/>
          <w:sz w:val="24"/>
          <w:szCs w:val="24"/>
        </w:rPr>
        <w:t xml:space="preserve">avoid testing water, lest the results show a need for treatment or other mitigation.  </w:t>
      </w:r>
      <w:r w:rsidR="00067B8B">
        <w:rPr>
          <w:rFonts w:ascii="Garamond" w:hAnsi="Garamond"/>
          <w:sz w:val="24"/>
          <w:szCs w:val="24"/>
        </w:rPr>
        <w:t xml:space="preserve"> </w:t>
      </w:r>
    </w:p>
    <w:p w:rsidR="00544631" w:rsidRPr="00544631" w:rsidRDefault="00B73823" w:rsidP="00544631">
      <w:pPr>
        <w:jc w:val="both"/>
        <w:rPr>
          <w:rFonts w:ascii="Garamond" w:hAnsi="Garamond"/>
          <w:sz w:val="24"/>
          <w:szCs w:val="24"/>
          <w:u w:val="single"/>
        </w:rPr>
      </w:pPr>
      <w:r>
        <w:rPr>
          <w:rFonts w:ascii="Garamond" w:hAnsi="Garamond"/>
          <w:sz w:val="24"/>
          <w:szCs w:val="24"/>
        </w:rPr>
        <w:tab/>
      </w:r>
      <w:r w:rsidR="00544631">
        <w:rPr>
          <w:rFonts w:ascii="Garamond" w:hAnsi="Garamond"/>
          <w:sz w:val="24"/>
          <w:szCs w:val="24"/>
          <w:u w:val="single"/>
        </w:rPr>
        <w:t>FDA Should Better Identify High-Risk Water Use Scenarios</w:t>
      </w:r>
    </w:p>
    <w:p w:rsidR="00282062" w:rsidRDefault="00544631" w:rsidP="00544631">
      <w:pPr>
        <w:ind w:firstLine="720"/>
        <w:jc w:val="both"/>
        <w:rPr>
          <w:rFonts w:ascii="Garamond" w:hAnsi="Garamond"/>
          <w:sz w:val="24"/>
          <w:szCs w:val="24"/>
        </w:rPr>
      </w:pPr>
      <w:r>
        <w:rPr>
          <w:rFonts w:ascii="Garamond" w:hAnsi="Garamond"/>
          <w:sz w:val="24"/>
          <w:szCs w:val="24"/>
        </w:rPr>
        <w:t>In addition to</w:t>
      </w:r>
      <w:r w:rsidR="00212622">
        <w:rPr>
          <w:rFonts w:ascii="Garamond" w:hAnsi="Garamond"/>
          <w:sz w:val="24"/>
          <w:szCs w:val="24"/>
        </w:rPr>
        <w:t xml:space="preserve"> </w:t>
      </w:r>
      <w:r w:rsidR="007B415B">
        <w:rPr>
          <w:rFonts w:ascii="Garamond" w:hAnsi="Garamond"/>
          <w:sz w:val="24"/>
          <w:szCs w:val="24"/>
        </w:rPr>
        <w:t>a validated microbial</w:t>
      </w:r>
      <w:r w:rsidR="00212622">
        <w:rPr>
          <w:rFonts w:ascii="Garamond" w:hAnsi="Garamond"/>
          <w:sz w:val="24"/>
          <w:szCs w:val="24"/>
        </w:rPr>
        <w:t xml:space="preserve"> testing </w:t>
      </w:r>
      <w:r w:rsidR="007B415B">
        <w:rPr>
          <w:rFonts w:ascii="Garamond" w:hAnsi="Garamond"/>
          <w:sz w:val="24"/>
          <w:szCs w:val="24"/>
        </w:rPr>
        <w:t>requirement</w:t>
      </w:r>
      <w:r>
        <w:rPr>
          <w:rFonts w:ascii="Garamond" w:hAnsi="Garamond"/>
          <w:sz w:val="24"/>
          <w:szCs w:val="24"/>
        </w:rPr>
        <w:t>,</w:t>
      </w:r>
      <w:r w:rsidR="007B415B">
        <w:rPr>
          <w:rFonts w:ascii="Garamond" w:hAnsi="Garamond"/>
          <w:sz w:val="24"/>
          <w:szCs w:val="24"/>
        </w:rPr>
        <w:t xml:space="preserve"> </w:t>
      </w:r>
      <w:r w:rsidR="00B17A6D">
        <w:rPr>
          <w:rFonts w:ascii="Garamond" w:hAnsi="Garamond"/>
          <w:sz w:val="24"/>
          <w:szCs w:val="24"/>
        </w:rPr>
        <w:t>FDA should also establish non-microbial standards to direct how growers use and treat water. In particular, t</w:t>
      </w:r>
      <w:r w:rsidR="000D08BD">
        <w:rPr>
          <w:rFonts w:ascii="Garamond" w:hAnsi="Garamond"/>
          <w:sz w:val="24"/>
          <w:szCs w:val="24"/>
        </w:rPr>
        <w:t xml:space="preserve">he Proposed Rule </w:t>
      </w:r>
      <w:r w:rsidR="00B17A6D">
        <w:rPr>
          <w:rFonts w:ascii="Garamond" w:hAnsi="Garamond"/>
          <w:sz w:val="24"/>
          <w:szCs w:val="24"/>
        </w:rPr>
        <w:t xml:space="preserve">can </w:t>
      </w:r>
      <w:r w:rsidR="000D08BD">
        <w:rPr>
          <w:rFonts w:ascii="Garamond" w:hAnsi="Garamond"/>
          <w:sz w:val="24"/>
          <w:szCs w:val="24"/>
        </w:rPr>
        <w:t xml:space="preserve">strike a better balance between flexible and administrable standards </w:t>
      </w:r>
      <w:r w:rsidR="007B415B">
        <w:rPr>
          <w:rFonts w:ascii="Garamond" w:hAnsi="Garamond"/>
          <w:sz w:val="24"/>
          <w:szCs w:val="24"/>
        </w:rPr>
        <w:t xml:space="preserve">related to </w:t>
      </w:r>
      <w:r w:rsidR="00B17A6D">
        <w:rPr>
          <w:rFonts w:ascii="Garamond" w:hAnsi="Garamond"/>
          <w:sz w:val="24"/>
          <w:szCs w:val="24"/>
        </w:rPr>
        <w:t xml:space="preserve">high-risk water use scenarios. </w:t>
      </w:r>
      <w:r w:rsidR="00282062">
        <w:rPr>
          <w:rFonts w:ascii="Garamond" w:hAnsi="Garamond"/>
          <w:sz w:val="24"/>
          <w:szCs w:val="24"/>
        </w:rPr>
        <w:t xml:space="preserve">As we point out in our joint comments with CSPI, </w:t>
      </w:r>
      <w:r w:rsidR="00282062" w:rsidRPr="00282062">
        <w:rPr>
          <w:rFonts w:ascii="Garamond" w:hAnsi="Garamond"/>
          <w:sz w:val="24"/>
          <w:szCs w:val="24"/>
        </w:rPr>
        <w:t xml:space="preserve">the </w:t>
      </w:r>
      <w:r w:rsidR="00282062">
        <w:rPr>
          <w:rFonts w:ascii="Garamond" w:hAnsi="Garamond"/>
          <w:sz w:val="24"/>
          <w:szCs w:val="24"/>
        </w:rPr>
        <w:t>Proposed Rule</w:t>
      </w:r>
      <w:r w:rsidR="00282062" w:rsidRPr="00282062">
        <w:rPr>
          <w:rFonts w:ascii="Garamond" w:hAnsi="Garamond"/>
          <w:sz w:val="24"/>
          <w:szCs w:val="24"/>
        </w:rPr>
        <w:t xml:space="preserve"> currently provides no framework for determining when a hazard </w:t>
      </w:r>
      <w:r w:rsidR="00282062">
        <w:rPr>
          <w:rFonts w:ascii="Garamond" w:hAnsi="Garamond"/>
          <w:sz w:val="24"/>
          <w:szCs w:val="24"/>
        </w:rPr>
        <w:t>requires</w:t>
      </w:r>
      <w:r w:rsidR="00282062" w:rsidRPr="00282062">
        <w:rPr>
          <w:rFonts w:ascii="Garamond" w:hAnsi="Garamond"/>
          <w:sz w:val="24"/>
          <w:szCs w:val="24"/>
        </w:rPr>
        <w:t xml:space="preserve"> </w:t>
      </w:r>
      <w:r w:rsidR="00282062">
        <w:rPr>
          <w:rFonts w:ascii="Garamond" w:hAnsi="Garamond"/>
          <w:sz w:val="24"/>
          <w:szCs w:val="24"/>
        </w:rPr>
        <w:t xml:space="preserve">a grower to immediately discontinue </w:t>
      </w:r>
      <w:r w:rsidR="00B17A6D">
        <w:rPr>
          <w:rFonts w:ascii="Garamond" w:hAnsi="Garamond"/>
          <w:sz w:val="24"/>
          <w:szCs w:val="24"/>
        </w:rPr>
        <w:t xml:space="preserve">water </w:t>
      </w:r>
      <w:r w:rsidR="00282062">
        <w:rPr>
          <w:rFonts w:ascii="Garamond" w:hAnsi="Garamond"/>
          <w:sz w:val="24"/>
          <w:szCs w:val="24"/>
        </w:rPr>
        <w:t>use. The Proposed Rule cites the example of where “</w:t>
      </w:r>
      <w:r w:rsidR="00282062" w:rsidRPr="00282062">
        <w:rPr>
          <w:rFonts w:ascii="Garamond" w:hAnsi="Garamond"/>
          <w:sz w:val="24"/>
          <w:szCs w:val="24"/>
        </w:rPr>
        <w:t>a covered</w:t>
      </w:r>
      <w:r w:rsidR="00282062">
        <w:rPr>
          <w:rFonts w:ascii="Garamond" w:hAnsi="Garamond"/>
          <w:sz w:val="24"/>
          <w:szCs w:val="24"/>
        </w:rPr>
        <w:t xml:space="preserve"> </w:t>
      </w:r>
      <w:r w:rsidR="00282062" w:rsidRPr="00282062">
        <w:rPr>
          <w:rFonts w:ascii="Garamond" w:hAnsi="Garamond"/>
          <w:sz w:val="24"/>
          <w:szCs w:val="24"/>
        </w:rPr>
        <w:t>farm finds that there is a dead</w:t>
      </w:r>
      <w:r w:rsidR="00282062">
        <w:rPr>
          <w:rFonts w:ascii="Garamond" w:hAnsi="Garamond"/>
          <w:sz w:val="24"/>
          <w:szCs w:val="24"/>
        </w:rPr>
        <w:t xml:space="preserve"> </w:t>
      </w:r>
      <w:r w:rsidR="00282062" w:rsidRPr="00282062">
        <w:rPr>
          <w:rFonts w:ascii="Garamond" w:hAnsi="Garamond"/>
          <w:sz w:val="24"/>
          <w:szCs w:val="24"/>
        </w:rPr>
        <w:t>and</w:t>
      </w:r>
      <w:r w:rsidR="00282062">
        <w:rPr>
          <w:rFonts w:ascii="Garamond" w:hAnsi="Garamond"/>
          <w:sz w:val="24"/>
          <w:szCs w:val="24"/>
        </w:rPr>
        <w:t xml:space="preserve"> </w:t>
      </w:r>
      <w:r w:rsidR="00282062" w:rsidRPr="00282062">
        <w:rPr>
          <w:rFonts w:ascii="Garamond" w:hAnsi="Garamond"/>
          <w:sz w:val="24"/>
          <w:szCs w:val="24"/>
        </w:rPr>
        <w:t>decaying sheep in the canal upstream</w:t>
      </w:r>
      <w:r w:rsidR="00282062">
        <w:rPr>
          <w:rFonts w:ascii="Garamond" w:hAnsi="Garamond"/>
          <w:sz w:val="24"/>
          <w:szCs w:val="24"/>
        </w:rPr>
        <w:t xml:space="preserve"> </w:t>
      </w:r>
      <w:r w:rsidR="00282062" w:rsidRPr="00282062">
        <w:rPr>
          <w:rFonts w:ascii="Garamond" w:hAnsi="Garamond"/>
          <w:sz w:val="24"/>
          <w:szCs w:val="24"/>
        </w:rPr>
        <w:t>and at a close distance from where it</w:t>
      </w:r>
      <w:r w:rsidR="00282062">
        <w:rPr>
          <w:rFonts w:ascii="Garamond" w:hAnsi="Garamond"/>
          <w:sz w:val="24"/>
          <w:szCs w:val="24"/>
        </w:rPr>
        <w:t xml:space="preserve"> draws water.” Apart from this extreme </w:t>
      </w:r>
      <w:r w:rsidR="00164F18">
        <w:rPr>
          <w:rFonts w:ascii="Garamond" w:hAnsi="Garamond"/>
          <w:sz w:val="24"/>
          <w:szCs w:val="24"/>
        </w:rPr>
        <w:t>circumstance</w:t>
      </w:r>
      <w:r w:rsidR="00282062">
        <w:rPr>
          <w:rFonts w:ascii="Garamond" w:hAnsi="Garamond"/>
          <w:sz w:val="24"/>
          <w:szCs w:val="24"/>
        </w:rPr>
        <w:t xml:space="preserve">, however, </w:t>
      </w:r>
      <w:r w:rsidR="00B17A6D">
        <w:rPr>
          <w:rFonts w:ascii="Garamond" w:hAnsi="Garamond"/>
          <w:sz w:val="24"/>
          <w:szCs w:val="24"/>
        </w:rPr>
        <w:t>the Proposed Rule leaves ambiguous what type of information might lead a grower to determine that “</w:t>
      </w:r>
      <w:r w:rsidR="00B17A6D" w:rsidRPr="00B17A6D">
        <w:rPr>
          <w:rFonts w:ascii="Garamond" w:hAnsi="Garamond"/>
          <w:sz w:val="24"/>
          <w:szCs w:val="24"/>
        </w:rPr>
        <w:t>agricultural water is not safe or is not of adequate sanitary</w:t>
      </w:r>
      <w:r w:rsidR="00B17A6D">
        <w:rPr>
          <w:rFonts w:ascii="Garamond" w:hAnsi="Garamond"/>
          <w:sz w:val="24"/>
          <w:szCs w:val="24"/>
        </w:rPr>
        <w:t xml:space="preserve"> </w:t>
      </w:r>
      <w:r w:rsidR="00B17A6D" w:rsidRPr="00B17A6D">
        <w:rPr>
          <w:rFonts w:ascii="Garamond" w:hAnsi="Garamond"/>
          <w:sz w:val="24"/>
          <w:szCs w:val="24"/>
        </w:rPr>
        <w:t>quality for intended use(s).</w:t>
      </w:r>
      <w:r w:rsidR="00B17A6D">
        <w:rPr>
          <w:rFonts w:ascii="Garamond" w:hAnsi="Garamond"/>
          <w:sz w:val="24"/>
          <w:szCs w:val="24"/>
        </w:rPr>
        <w:t xml:space="preserve">” By implication, some </w:t>
      </w:r>
      <w:r w:rsidR="00164F18">
        <w:rPr>
          <w:rFonts w:ascii="Garamond" w:hAnsi="Garamond"/>
          <w:sz w:val="24"/>
          <w:szCs w:val="24"/>
        </w:rPr>
        <w:t>“</w:t>
      </w:r>
      <w:r w:rsidR="00B17A6D">
        <w:rPr>
          <w:rFonts w:ascii="Garamond" w:hAnsi="Garamond"/>
          <w:sz w:val="24"/>
          <w:szCs w:val="24"/>
        </w:rPr>
        <w:t xml:space="preserve">hazards </w:t>
      </w:r>
      <w:r w:rsidR="00164F18">
        <w:rPr>
          <w:rFonts w:ascii="Garamond" w:hAnsi="Garamond"/>
          <w:sz w:val="24"/>
          <w:szCs w:val="24"/>
        </w:rPr>
        <w:t xml:space="preserve">related to </w:t>
      </w:r>
      <w:r w:rsidR="00164F18" w:rsidRPr="00164F18">
        <w:rPr>
          <w:rFonts w:ascii="Garamond" w:hAnsi="Garamond"/>
          <w:sz w:val="24"/>
          <w:szCs w:val="24"/>
        </w:rPr>
        <w:t>animal activity, BSAAOs, or untreated or improperly treated</w:t>
      </w:r>
      <w:r w:rsidR="00164F18">
        <w:rPr>
          <w:rFonts w:ascii="Garamond" w:hAnsi="Garamond"/>
          <w:sz w:val="24"/>
          <w:szCs w:val="24"/>
        </w:rPr>
        <w:t xml:space="preserve"> </w:t>
      </w:r>
      <w:r w:rsidR="00164F18" w:rsidRPr="00164F18">
        <w:rPr>
          <w:rFonts w:ascii="Garamond" w:hAnsi="Garamond"/>
          <w:sz w:val="24"/>
          <w:szCs w:val="24"/>
        </w:rPr>
        <w:t>human waste</w:t>
      </w:r>
      <w:r w:rsidR="00164F18">
        <w:rPr>
          <w:rFonts w:ascii="Garamond" w:hAnsi="Garamond"/>
          <w:sz w:val="24"/>
          <w:szCs w:val="24"/>
        </w:rPr>
        <w:t>” do not require immediate attention (rather, they require “</w:t>
      </w:r>
      <w:r w:rsidR="00164F18" w:rsidRPr="00164F18">
        <w:rPr>
          <w:rFonts w:ascii="Garamond" w:hAnsi="Garamond"/>
          <w:sz w:val="24"/>
          <w:szCs w:val="24"/>
        </w:rPr>
        <w:t>mitigation measures within the same</w:t>
      </w:r>
      <w:r w:rsidR="00164F18">
        <w:rPr>
          <w:rFonts w:ascii="Garamond" w:hAnsi="Garamond"/>
          <w:sz w:val="24"/>
          <w:szCs w:val="24"/>
        </w:rPr>
        <w:t xml:space="preserve"> </w:t>
      </w:r>
      <w:r w:rsidR="00164F18" w:rsidRPr="00164F18">
        <w:rPr>
          <w:rFonts w:ascii="Garamond" w:hAnsi="Garamond"/>
          <w:sz w:val="24"/>
          <w:szCs w:val="24"/>
        </w:rPr>
        <w:t>growing season as the assessment</w:t>
      </w:r>
      <w:r w:rsidR="00164F18">
        <w:rPr>
          <w:rFonts w:ascii="Garamond" w:hAnsi="Garamond"/>
          <w:sz w:val="24"/>
          <w:szCs w:val="24"/>
        </w:rPr>
        <w:t xml:space="preserve">.”). </w:t>
      </w:r>
      <w:r w:rsidR="00246D2E">
        <w:rPr>
          <w:rFonts w:ascii="Garamond" w:hAnsi="Garamond"/>
          <w:sz w:val="24"/>
          <w:szCs w:val="24"/>
        </w:rPr>
        <w:t xml:space="preserve">But the Proposed Rule does not </w:t>
      </w:r>
      <w:r w:rsidR="00164F18">
        <w:rPr>
          <w:rFonts w:ascii="Garamond" w:hAnsi="Garamond"/>
          <w:sz w:val="24"/>
          <w:szCs w:val="24"/>
        </w:rPr>
        <w:t xml:space="preserve">delineate what factors separate these hazards from the dead sheep scenario. </w:t>
      </w:r>
    </w:p>
    <w:p w:rsidR="007B415B" w:rsidRDefault="00164F18" w:rsidP="00544631">
      <w:pPr>
        <w:jc w:val="both"/>
        <w:rPr>
          <w:rFonts w:ascii="Garamond" w:hAnsi="Garamond"/>
          <w:sz w:val="24"/>
          <w:szCs w:val="24"/>
        </w:rPr>
      </w:pPr>
      <w:r>
        <w:rPr>
          <w:rFonts w:ascii="Garamond" w:hAnsi="Garamond"/>
          <w:sz w:val="24"/>
          <w:szCs w:val="24"/>
        </w:rPr>
        <w:tab/>
        <w:t xml:space="preserve">FDA </w:t>
      </w:r>
      <w:r w:rsidR="00246D2E">
        <w:rPr>
          <w:rFonts w:ascii="Garamond" w:hAnsi="Garamond"/>
          <w:sz w:val="24"/>
          <w:szCs w:val="24"/>
        </w:rPr>
        <w:t xml:space="preserve">should </w:t>
      </w:r>
      <w:r>
        <w:rPr>
          <w:rFonts w:ascii="Garamond" w:hAnsi="Garamond"/>
          <w:sz w:val="24"/>
          <w:szCs w:val="24"/>
        </w:rPr>
        <w:t xml:space="preserve">do more to help growers identify circumstances in which water is not likely to be safe for its intended uses. </w:t>
      </w:r>
      <w:r w:rsidR="00246D2E">
        <w:rPr>
          <w:rFonts w:ascii="Garamond" w:hAnsi="Garamond"/>
          <w:sz w:val="24"/>
          <w:szCs w:val="24"/>
        </w:rPr>
        <w:t>A</w:t>
      </w:r>
      <w:r w:rsidR="000D08BD">
        <w:rPr>
          <w:rFonts w:ascii="Garamond" w:hAnsi="Garamond"/>
          <w:sz w:val="24"/>
          <w:szCs w:val="24"/>
        </w:rPr>
        <w:t xml:space="preserve">s the proposed rule points out, </w:t>
      </w:r>
      <w:r w:rsidR="007B415B">
        <w:rPr>
          <w:rFonts w:ascii="Garamond" w:hAnsi="Garamond"/>
          <w:sz w:val="24"/>
          <w:szCs w:val="24"/>
        </w:rPr>
        <w:t>“[t]</w:t>
      </w:r>
      <w:r w:rsidR="000D08BD" w:rsidRPr="000D08BD">
        <w:rPr>
          <w:rFonts w:ascii="Garamond" w:hAnsi="Garamond"/>
          <w:sz w:val="24"/>
          <w:szCs w:val="24"/>
        </w:rPr>
        <w:t>here is a significant likelihood that</w:t>
      </w:r>
      <w:r w:rsidR="007B415B">
        <w:rPr>
          <w:rFonts w:ascii="Garamond" w:hAnsi="Garamond"/>
          <w:sz w:val="24"/>
          <w:szCs w:val="24"/>
        </w:rPr>
        <w:t xml:space="preserve"> </w:t>
      </w:r>
      <w:r w:rsidR="000D08BD" w:rsidRPr="000D08BD">
        <w:rPr>
          <w:rFonts w:ascii="Garamond" w:hAnsi="Garamond"/>
          <w:sz w:val="24"/>
          <w:szCs w:val="24"/>
        </w:rPr>
        <w:t>U.S. surface waters will contain human</w:t>
      </w:r>
      <w:r w:rsidR="007B415B">
        <w:rPr>
          <w:rFonts w:ascii="Garamond" w:hAnsi="Garamond"/>
          <w:sz w:val="24"/>
          <w:szCs w:val="24"/>
        </w:rPr>
        <w:t xml:space="preserve"> </w:t>
      </w:r>
      <w:r w:rsidR="000D08BD" w:rsidRPr="000D08BD">
        <w:rPr>
          <w:rFonts w:ascii="Garamond" w:hAnsi="Garamond"/>
          <w:sz w:val="24"/>
          <w:szCs w:val="24"/>
        </w:rPr>
        <w:t>pathogens, and surface waters pose the</w:t>
      </w:r>
      <w:r w:rsidR="007B415B">
        <w:rPr>
          <w:rFonts w:ascii="Garamond" w:hAnsi="Garamond"/>
          <w:sz w:val="24"/>
          <w:szCs w:val="24"/>
        </w:rPr>
        <w:t xml:space="preserve"> </w:t>
      </w:r>
      <w:r w:rsidR="000D08BD" w:rsidRPr="000D08BD">
        <w:rPr>
          <w:rFonts w:ascii="Garamond" w:hAnsi="Garamond"/>
          <w:sz w:val="24"/>
          <w:szCs w:val="24"/>
        </w:rPr>
        <w:t>highe</w:t>
      </w:r>
      <w:r w:rsidR="000D08BD" w:rsidRPr="00913826">
        <w:rPr>
          <w:rFonts w:ascii="Garamond" w:hAnsi="Garamond"/>
          <w:sz w:val="24"/>
          <w:szCs w:val="24"/>
        </w:rPr>
        <w:t>st potential for contamination and</w:t>
      </w:r>
      <w:r w:rsidR="007B415B" w:rsidRPr="00913826">
        <w:rPr>
          <w:rFonts w:ascii="Garamond" w:hAnsi="Garamond"/>
          <w:sz w:val="24"/>
          <w:szCs w:val="24"/>
        </w:rPr>
        <w:t xml:space="preserve"> </w:t>
      </w:r>
      <w:r w:rsidR="000D08BD" w:rsidRPr="00913826">
        <w:rPr>
          <w:rFonts w:ascii="Garamond" w:hAnsi="Garamond"/>
          <w:sz w:val="24"/>
          <w:szCs w:val="24"/>
        </w:rPr>
        <w:t>the greatest variability in quality of the</w:t>
      </w:r>
      <w:r w:rsidR="007B415B" w:rsidRPr="00913826">
        <w:rPr>
          <w:rFonts w:ascii="Garamond" w:hAnsi="Garamond"/>
          <w:sz w:val="24"/>
          <w:szCs w:val="24"/>
        </w:rPr>
        <w:t xml:space="preserve"> </w:t>
      </w:r>
      <w:r w:rsidR="000D08BD" w:rsidRPr="00913826">
        <w:rPr>
          <w:rFonts w:ascii="Garamond" w:hAnsi="Garamond"/>
          <w:sz w:val="24"/>
          <w:szCs w:val="24"/>
        </w:rPr>
        <w:t>agricultural water sources.</w:t>
      </w:r>
      <w:r w:rsidR="007B415B" w:rsidRPr="00913826">
        <w:rPr>
          <w:rFonts w:ascii="Garamond" w:hAnsi="Garamond"/>
          <w:sz w:val="24"/>
          <w:szCs w:val="24"/>
        </w:rPr>
        <w:t xml:space="preserve">” This significant likelihood has led growers participating in the Leafy Greens Marketing Agreements (LGMA) to discontinue use of untreated surface </w:t>
      </w:r>
      <w:r w:rsidR="007B415B" w:rsidRPr="00913826">
        <w:rPr>
          <w:rFonts w:ascii="Garamond" w:hAnsi="Garamond"/>
          <w:sz w:val="24"/>
          <w:szCs w:val="24"/>
        </w:rPr>
        <w:lastRenderedPageBreak/>
        <w:t>water in overhead irrigation systems in the three weeks leading up to harvest.</w:t>
      </w:r>
      <w:r w:rsidR="007B415B" w:rsidRPr="00913826">
        <w:rPr>
          <w:rStyle w:val="FootnoteReference"/>
          <w:rFonts w:ascii="Garamond" w:hAnsi="Garamond"/>
          <w:sz w:val="24"/>
          <w:szCs w:val="24"/>
        </w:rPr>
        <w:footnoteReference w:id="4"/>
      </w:r>
      <w:r w:rsidR="007B415B" w:rsidRPr="00913826">
        <w:rPr>
          <w:rFonts w:ascii="Garamond" w:hAnsi="Garamond"/>
          <w:sz w:val="24"/>
          <w:szCs w:val="24"/>
        </w:rPr>
        <w:t xml:space="preserve"> FDA </w:t>
      </w:r>
      <w:r w:rsidR="00913826" w:rsidRPr="00913826">
        <w:rPr>
          <w:rFonts w:ascii="Garamond" w:hAnsi="Garamond"/>
          <w:sz w:val="24"/>
          <w:szCs w:val="24"/>
        </w:rPr>
        <w:t>could</w:t>
      </w:r>
      <w:r w:rsidR="007B415B" w:rsidRPr="00913826">
        <w:rPr>
          <w:rFonts w:ascii="Garamond" w:hAnsi="Garamond"/>
          <w:sz w:val="24"/>
          <w:szCs w:val="24"/>
        </w:rPr>
        <w:t xml:space="preserve"> similarly specify </w:t>
      </w:r>
      <w:r w:rsidR="00913826" w:rsidRPr="00913826">
        <w:rPr>
          <w:rFonts w:ascii="Garamond" w:hAnsi="Garamond"/>
          <w:sz w:val="24"/>
          <w:szCs w:val="24"/>
        </w:rPr>
        <w:t xml:space="preserve">certain </w:t>
      </w:r>
      <w:r w:rsidR="00003073" w:rsidRPr="00913826">
        <w:rPr>
          <w:rFonts w:ascii="Garamond" w:hAnsi="Garamond"/>
          <w:sz w:val="24"/>
          <w:szCs w:val="24"/>
        </w:rPr>
        <w:t xml:space="preserve">uses </w:t>
      </w:r>
      <w:r w:rsidR="00913826" w:rsidRPr="00913826">
        <w:rPr>
          <w:rFonts w:ascii="Garamond" w:hAnsi="Garamond"/>
          <w:sz w:val="24"/>
          <w:szCs w:val="24"/>
        </w:rPr>
        <w:t xml:space="preserve">for which </w:t>
      </w:r>
      <w:r w:rsidR="00003073" w:rsidRPr="00913826">
        <w:rPr>
          <w:rFonts w:ascii="Garamond" w:hAnsi="Garamond"/>
          <w:sz w:val="24"/>
          <w:szCs w:val="24"/>
        </w:rPr>
        <w:t xml:space="preserve">untreated surface water is </w:t>
      </w:r>
      <w:r w:rsidR="00913826" w:rsidRPr="00913826">
        <w:rPr>
          <w:rFonts w:ascii="Garamond" w:hAnsi="Garamond"/>
          <w:sz w:val="24"/>
          <w:szCs w:val="24"/>
        </w:rPr>
        <w:t xml:space="preserve">unacceptable. </w:t>
      </w:r>
    </w:p>
    <w:p w:rsidR="00544631" w:rsidRDefault="00544631" w:rsidP="00544631">
      <w:pPr>
        <w:jc w:val="both"/>
        <w:rPr>
          <w:rFonts w:ascii="Garamond" w:hAnsi="Garamond"/>
          <w:sz w:val="24"/>
          <w:szCs w:val="24"/>
        </w:rPr>
      </w:pPr>
      <w:r>
        <w:rPr>
          <w:rFonts w:ascii="Garamond" w:hAnsi="Garamond"/>
          <w:sz w:val="24"/>
          <w:szCs w:val="24"/>
        </w:rPr>
        <w:tab/>
      </w:r>
      <w:r>
        <w:rPr>
          <w:rFonts w:ascii="Garamond" w:hAnsi="Garamond"/>
          <w:sz w:val="24"/>
          <w:szCs w:val="24"/>
          <w:u w:val="single"/>
        </w:rPr>
        <w:t>Conclusion</w:t>
      </w:r>
      <w:r w:rsidR="00246D2E">
        <w:rPr>
          <w:rFonts w:ascii="Garamond" w:hAnsi="Garamond"/>
          <w:sz w:val="24"/>
          <w:szCs w:val="24"/>
        </w:rPr>
        <w:tab/>
      </w:r>
    </w:p>
    <w:p w:rsidR="00246D2E" w:rsidRPr="00913826" w:rsidRDefault="00246D2E" w:rsidP="00544631">
      <w:pPr>
        <w:ind w:firstLine="720"/>
        <w:jc w:val="both"/>
        <w:rPr>
          <w:rFonts w:ascii="Garamond" w:hAnsi="Garamond"/>
          <w:sz w:val="24"/>
          <w:szCs w:val="24"/>
        </w:rPr>
      </w:pPr>
      <w:r>
        <w:rPr>
          <w:rFonts w:ascii="Garamond" w:hAnsi="Garamond"/>
          <w:sz w:val="24"/>
          <w:szCs w:val="24"/>
        </w:rPr>
        <w:t>Given the reaction to FDA’s previous attempt to implement FSMA’s agricultural water standard requirement, the agency’s reluctance to promulgate bright line rules is understandable. However, the Proposed Rule puts too much responsibility o</w:t>
      </w:r>
      <w:r w:rsidR="00AB3A8D">
        <w:rPr>
          <w:rFonts w:ascii="Garamond" w:hAnsi="Garamond"/>
          <w:sz w:val="24"/>
          <w:szCs w:val="24"/>
        </w:rPr>
        <w:t>n growers to devise the optimal approach to managing food safety risk. Many growers lack the expertise to manage agricu</w:t>
      </w:r>
      <w:r w:rsidR="00FD7695">
        <w:rPr>
          <w:rFonts w:ascii="Garamond" w:hAnsi="Garamond"/>
          <w:sz w:val="24"/>
          <w:szCs w:val="24"/>
        </w:rPr>
        <w:t>ltural water hazards effectively. Moreover, s</w:t>
      </w:r>
      <w:r w:rsidR="00B25939">
        <w:rPr>
          <w:rFonts w:ascii="Garamond" w:hAnsi="Garamond"/>
          <w:sz w:val="24"/>
          <w:szCs w:val="24"/>
        </w:rPr>
        <w:t xml:space="preserve">o long as foodborne illness surveillance remains </w:t>
      </w:r>
      <w:r w:rsidR="009A160B">
        <w:rPr>
          <w:rFonts w:ascii="Garamond" w:hAnsi="Garamond"/>
          <w:sz w:val="24"/>
          <w:szCs w:val="24"/>
        </w:rPr>
        <w:t>imperfect</w:t>
      </w:r>
      <w:r w:rsidR="00B25939">
        <w:rPr>
          <w:rFonts w:ascii="Garamond" w:hAnsi="Garamond"/>
          <w:sz w:val="24"/>
          <w:szCs w:val="24"/>
        </w:rPr>
        <w:t>, the free market’s pressure to cut costs wherever possible will reliably erode investment</w:t>
      </w:r>
      <w:r w:rsidR="00AB3A8D">
        <w:rPr>
          <w:rFonts w:ascii="Garamond" w:hAnsi="Garamond"/>
          <w:sz w:val="24"/>
          <w:szCs w:val="24"/>
        </w:rPr>
        <w:t xml:space="preserve"> in food safety. </w:t>
      </w:r>
      <w:r w:rsidR="00B25939">
        <w:rPr>
          <w:rFonts w:ascii="Garamond" w:hAnsi="Garamond"/>
          <w:sz w:val="24"/>
          <w:szCs w:val="24"/>
        </w:rPr>
        <w:t xml:space="preserve">FDA plays a critical role in countering this trend, and here, </w:t>
      </w:r>
      <w:r w:rsidR="00AB3A8D">
        <w:rPr>
          <w:rFonts w:ascii="Garamond" w:hAnsi="Garamond"/>
          <w:sz w:val="24"/>
          <w:szCs w:val="24"/>
        </w:rPr>
        <w:t xml:space="preserve">FSMA gives FDA </w:t>
      </w:r>
      <w:r w:rsidR="00B25939">
        <w:rPr>
          <w:rFonts w:ascii="Garamond" w:hAnsi="Garamond"/>
          <w:sz w:val="24"/>
          <w:szCs w:val="24"/>
        </w:rPr>
        <w:t>a clear mandate</w:t>
      </w:r>
      <w:r w:rsidR="00AB3A8D">
        <w:rPr>
          <w:rFonts w:ascii="Garamond" w:hAnsi="Garamond"/>
          <w:sz w:val="24"/>
          <w:szCs w:val="24"/>
        </w:rPr>
        <w:t xml:space="preserve"> to set </w:t>
      </w:r>
      <w:r w:rsidR="00B25939">
        <w:rPr>
          <w:rFonts w:ascii="Garamond" w:hAnsi="Garamond"/>
          <w:sz w:val="24"/>
          <w:szCs w:val="24"/>
        </w:rPr>
        <w:t xml:space="preserve">agricultural water </w:t>
      </w:r>
      <w:r w:rsidR="00AB3A8D">
        <w:rPr>
          <w:rFonts w:ascii="Garamond" w:hAnsi="Garamond"/>
          <w:sz w:val="24"/>
          <w:szCs w:val="24"/>
        </w:rPr>
        <w:t>standards that protect consumers</w:t>
      </w:r>
      <w:r w:rsidR="00B25939">
        <w:rPr>
          <w:rFonts w:ascii="Garamond" w:hAnsi="Garamond"/>
          <w:sz w:val="24"/>
          <w:szCs w:val="24"/>
        </w:rPr>
        <w:t xml:space="preserve">. FDA should use its FSMA authority, and the expertise gained </w:t>
      </w:r>
      <w:r w:rsidR="00AB3A8D">
        <w:rPr>
          <w:rFonts w:ascii="Garamond" w:hAnsi="Garamond"/>
          <w:sz w:val="24"/>
          <w:szCs w:val="24"/>
        </w:rPr>
        <w:t xml:space="preserve">over a decade of implementing the law, </w:t>
      </w:r>
      <w:r w:rsidR="00B25939">
        <w:rPr>
          <w:rFonts w:ascii="Garamond" w:hAnsi="Garamond"/>
          <w:sz w:val="24"/>
          <w:szCs w:val="24"/>
        </w:rPr>
        <w:t>to better protect consum</w:t>
      </w:r>
      <w:r w:rsidR="009A160B">
        <w:rPr>
          <w:rFonts w:ascii="Garamond" w:hAnsi="Garamond"/>
          <w:sz w:val="24"/>
          <w:szCs w:val="24"/>
        </w:rPr>
        <w:t>ers</w:t>
      </w:r>
      <w:r w:rsidR="00FD7695">
        <w:rPr>
          <w:rFonts w:ascii="Garamond" w:hAnsi="Garamond"/>
          <w:sz w:val="24"/>
          <w:szCs w:val="24"/>
        </w:rPr>
        <w:t xml:space="preserve">. </w:t>
      </w:r>
      <w:r w:rsidR="009A160B">
        <w:rPr>
          <w:rFonts w:ascii="Garamond" w:hAnsi="Garamond"/>
          <w:sz w:val="24"/>
          <w:szCs w:val="24"/>
        </w:rPr>
        <w:t xml:space="preserve"> </w:t>
      </w:r>
      <w:r w:rsidR="00B25939">
        <w:rPr>
          <w:rFonts w:ascii="Garamond" w:hAnsi="Garamond"/>
          <w:sz w:val="24"/>
          <w:szCs w:val="24"/>
        </w:rPr>
        <w:t xml:space="preserve"> </w:t>
      </w:r>
    </w:p>
    <w:p w:rsidR="00455A4B" w:rsidRPr="00913826" w:rsidRDefault="00913826" w:rsidP="00544631">
      <w:pPr>
        <w:jc w:val="both"/>
        <w:rPr>
          <w:rFonts w:ascii="Garamond" w:hAnsi="Garamond" w:cs="Times New Roman"/>
          <w:bCs/>
          <w:sz w:val="24"/>
          <w:szCs w:val="24"/>
        </w:rPr>
      </w:pPr>
      <w:r w:rsidRPr="00913826">
        <w:rPr>
          <w:rFonts w:ascii="Garamond" w:hAnsi="Garamond"/>
          <w:sz w:val="24"/>
          <w:szCs w:val="24"/>
        </w:rPr>
        <w:tab/>
      </w:r>
      <w:r w:rsidR="00455A4B" w:rsidRPr="00913826">
        <w:rPr>
          <w:rFonts w:ascii="Garamond" w:hAnsi="Garamond" w:cs="Times New Roman"/>
          <w:bCs/>
          <w:sz w:val="24"/>
          <w:szCs w:val="24"/>
        </w:rPr>
        <w:t xml:space="preserve">Thank you for your consideration of these comments. </w:t>
      </w:r>
    </w:p>
    <w:p w:rsidR="00455A4B" w:rsidRPr="00913826" w:rsidRDefault="00455A4B" w:rsidP="00544631">
      <w:pPr>
        <w:spacing w:after="0"/>
        <w:ind w:firstLine="720"/>
        <w:jc w:val="both"/>
        <w:rPr>
          <w:rFonts w:ascii="Garamond" w:hAnsi="Garamond" w:cs="Times New Roman"/>
          <w:bCs/>
          <w:sz w:val="24"/>
          <w:szCs w:val="24"/>
        </w:rPr>
      </w:pPr>
      <w:r w:rsidRPr="00913826">
        <w:rPr>
          <w:rFonts w:ascii="Garamond" w:hAnsi="Garamond" w:cs="Times New Roman"/>
          <w:bCs/>
          <w:sz w:val="24"/>
          <w:szCs w:val="24"/>
        </w:rPr>
        <w:t xml:space="preserve">Sincerely,  </w:t>
      </w:r>
    </w:p>
    <w:p w:rsidR="009A160B" w:rsidRDefault="009A160B" w:rsidP="00544631">
      <w:pPr>
        <w:spacing w:after="0"/>
        <w:ind w:firstLine="720"/>
        <w:jc w:val="both"/>
        <w:rPr>
          <w:rFonts w:ascii="Garamond" w:hAnsi="Garamond" w:cs="Times New Roman"/>
          <w:bCs/>
          <w:sz w:val="24"/>
          <w:szCs w:val="24"/>
        </w:rPr>
      </w:pPr>
    </w:p>
    <w:p w:rsidR="00DC6114" w:rsidRPr="00913826" w:rsidRDefault="00DC6114" w:rsidP="00544631">
      <w:pPr>
        <w:spacing w:after="0"/>
        <w:ind w:firstLine="720"/>
        <w:jc w:val="both"/>
        <w:rPr>
          <w:rFonts w:ascii="Garamond" w:hAnsi="Garamond" w:cs="Times New Roman"/>
          <w:bCs/>
          <w:sz w:val="24"/>
          <w:szCs w:val="24"/>
        </w:rPr>
      </w:pPr>
      <w:r w:rsidRPr="00913826">
        <w:rPr>
          <w:rFonts w:ascii="Garamond" w:hAnsi="Garamond" w:cs="Times New Roman"/>
          <w:bCs/>
          <w:sz w:val="24"/>
          <w:szCs w:val="24"/>
        </w:rPr>
        <w:t>Thomas Gremillion</w:t>
      </w:r>
    </w:p>
    <w:p w:rsidR="00DC6114" w:rsidRPr="00913826" w:rsidRDefault="00DC6114" w:rsidP="00544631">
      <w:pPr>
        <w:spacing w:after="0"/>
        <w:ind w:firstLine="720"/>
        <w:jc w:val="both"/>
        <w:rPr>
          <w:rFonts w:ascii="Garamond" w:hAnsi="Garamond" w:cs="Times New Roman"/>
          <w:bCs/>
          <w:sz w:val="24"/>
          <w:szCs w:val="24"/>
        </w:rPr>
      </w:pPr>
      <w:r w:rsidRPr="00913826">
        <w:rPr>
          <w:rFonts w:ascii="Garamond" w:hAnsi="Garamond" w:cs="Times New Roman"/>
          <w:bCs/>
          <w:sz w:val="24"/>
          <w:szCs w:val="24"/>
        </w:rPr>
        <w:t>Director of Food Policy</w:t>
      </w:r>
    </w:p>
    <w:p w:rsidR="00DC6114" w:rsidRPr="00913826" w:rsidRDefault="00DC6114" w:rsidP="00544631">
      <w:pPr>
        <w:spacing w:after="0"/>
        <w:ind w:firstLine="720"/>
        <w:jc w:val="both"/>
        <w:rPr>
          <w:rFonts w:ascii="Garamond" w:hAnsi="Garamond" w:cs="Times New Roman"/>
          <w:bCs/>
          <w:sz w:val="24"/>
          <w:szCs w:val="24"/>
        </w:rPr>
      </w:pPr>
      <w:r w:rsidRPr="00913826">
        <w:rPr>
          <w:rFonts w:ascii="Garamond" w:hAnsi="Garamond" w:cs="Times New Roman"/>
          <w:bCs/>
          <w:sz w:val="24"/>
          <w:szCs w:val="24"/>
        </w:rPr>
        <w:t>Consumer Federation of America</w:t>
      </w:r>
    </w:p>
    <w:sectPr w:rsidR="00DC6114" w:rsidRPr="009138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0A8" w:rsidRDefault="00D360A8" w:rsidP="007E3CA6">
      <w:pPr>
        <w:spacing w:after="0" w:line="240" w:lineRule="auto"/>
      </w:pPr>
      <w:r>
        <w:separator/>
      </w:r>
    </w:p>
  </w:endnote>
  <w:endnote w:type="continuationSeparator" w:id="0">
    <w:p w:rsidR="00D360A8" w:rsidRDefault="00D360A8" w:rsidP="007E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0A8" w:rsidRDefault="00D360A8" w:rsidP="007E3CA6">
      <w:pPr>
        <w:spacing w:after="0" w:line="240" w:lineRule="auto"/>
      </w:pPr>
      <w:r>
        <w:separator/>
      </w:r>
    </w:p>
  </w:footnote>
  <w:footnote w:type="continuationSeparator" w:id="0">
    <w:p w:rsidR="00D360A8" w:rsidRDefault="00D360A8" w:rsidP="007E3CA6">
      <w:pPr>
        <w:spacing w:after="0" w:line="240" w:lineRule="auto"/>
      </w:pPr>
      <w:r>
        <w:continuationSeparator/>
      </w:r>
    </w:p>
  </w:footnote>
  <w:footnote w:id="1">
    <w:p w:rsidR="00B17A6D" w:rsidRPr="00913826" w:rsidRDefault="00B17A6D" w:rsidP="002B1CFF">
      <w:pPr>
        <w:pStyle w:val="FootnoteText"/>
        <w:rPr>
          <w:rFonts w:ascii="Garamond" w:hAnsi="Garamond"/>
        </w:rPr>
      </w:pPr>
      <w:r w:rsidRPr="00913826">
        <w:rPr>
          <w:rStyle w:val="FootnoteReference"/>
          <w:rFonts w:ascii="Garamond" w:hAnsi="Garamond"/>
        </w:rPr>
        <w:footnoteRef/>
      </w:r>
      <w:r w:rsidRPr="00913826">
        <w:rPr>
          <w:rFonts w:ascii="Garamond" w:hAnsi="Garamond"/>
        </w:rPr>
        <w:t xml:space="preserve"> </w:t>
      </w:r>
      <w:hyperlink r:id="rId1" w:history="1">
        <w:r w:rsidRPr="00913826">
          <w:rPr>
            <w:rStyle w:val="Hyperlink"/>
            <w:rFonts w:ascii="Garamond" w:hAnsi="Garamond"/>
          </w:rPr>
          <w:t>https://www.cdc.gov/foodsafety/ifsac/pdf/P19-2019-report-TriAgency-508.pdf</w:t>
        </w:r>
      </w:hyperlink>
      <w:r w:rsidRPr="00913826">
        <w:rPr>
          <w:rFonts w:ascii="Garamond" w:hAnsi="Garamond"/>
        </w:rPr>
        <w:t xml:space="preserve"> </w:t>
      </w:r>
    </w:p>
  </w:footnote>
  <w:footnote w:id="2">
    <w:p w:rsidR="00B17A6D" w:rsidRPr="00913826" w:rsidRDefault="00B17A6D" w:rsidP="00944F3D">
      <w:pPr>
        <w:pStyle w:val="FootnoteText"/>
        <w:rPr>
          <w:rFonts w:ascii="Garamond" w:hAnsi="Garamond"/>
        </w:rPr>
      </w:pPr>
      <w:r w:rsidRPr="00913826">
        <w:rPr>
          <w:rStyle w:val="FootnoteReference"/>
          <w:rFonts w:ascii="Garamond" w:hAnsi="Garamond"/>
        </w:rPr>
        <w:footnoteRef/>
      </w:r>
      <w:r w:rsidRPr="00913826">
        <w:rPr>
          <w:rFonts w:ascii="Garamond" w:hAnsi="Garamond"/>
        </w:rPr>
        <w:t xml:space="preserve"> In particular, researchers have found that poor nutrition among the elderly, who are among the most susceptible to foodborne illnesses, increases food safety risk. See, e.g. Smith, J. L. (1998, September 01). Foodborne Illness in the Elderly. </w:t>
      </w:r>
      <w:hyperlink r:id="rId2" w:history="1">
        <w:r w:rsidRPr="00913826">
          <w:rPr>
            <w:rStyle w:val="Hyperlink"/>
            <w:rFonts w:ascii="Garamond" w:hAnsi="Garamond"/>
          </w:rPr>
          <w:t>https://meridian.allenpress.com/jfp/article/61/9/1229/168212/Foodborne-Illness-in-the-Elderly</w:t>
        </w:r>
      </w:hyperlink>
      <w:r w:rsidRPr="00913826">
        <w:rPr>
          <w:rFonts w:ascii="Garamond" w:hAnsi="Garamond"/>
        </w:rPr>
        <w:t xml:space="preserve">. Animal studies indicate that an important mechanism linking poor nutrition to foodborne illness may be reduced gut health, which has been </w:t>
      </w:r>
      <w:proofErr w:type="spellStart"/>
      <w:r w:rsidRPr="00913826">
        <w:rPr>
          <w:rFonts w:ascii="Garamond" w:hAnsi="Garamond"/>
        </w:rPr>
        <w:t>show</w:t>
      </w:r>
      <w:proofErr w:type="spellEnd"/>
      <w:r w:rsidRPr="00913826">
        <w:rPr>
          <w:rFonts w:ascii="Garamond" w:hAnsi="Garamond"/>
        </w:rPr>
        <w:t xml:space="preserve"> to reduce the body’s ability to fight off infections by pathogens such as </w:t>
      </w:r>
      <w:r w:rsidRPr="00913826">
        <w:rPr>
          <w:rFonts w:ascii="Garamond" w:hAnsi="Garamond"/>
          <w:i/>
        </w:rPr>
        <w:t>Salmonella</w:t>
      </w:r>
      <w:r w:rsidRPr="00913826">
        <w:rPr>
          <w:rFonts w:ascii="Garamond" w:hAnsi="Garamond"/>
        </w:rPr>
        <w:t xml:space="preserve">. </w:t>
      </w:r>
      <w:r w:rsidRPr="00913826">
        <w:rPr>
          <w:rFonts w:ascii="Garamond" w:hAnsi="Garamond"/>
          <w:i/>
        </w:rPr>
        <w:t xml:space="preserve">See </w:t>
      </w:r>
      <w:r w:rsidRPr="00913826">
        <w:rPr>
          <w:rFonts w:ascii="Garamond" w:hAnsi="Garamond"/>
        </w:rPr>
        <w:t xml:space="preserve">Brown, E. M., </w:t>
      </w:r>
      <w:proofErr w:type="gramStart"/>
      <w:r w:rsidRPr="00913826">
        <w:rPr>
          <w:rFonts w:ascii="Garamond" w:hAnsi="Garamond"/>
        </w:rPr>
        <w:t>et</w:t>
      </w:r>
      <w:proofErr w:type="gramEnd"/>
      <w:r w:rsidRPr="00913826">
        <w:rPr>
          <w:rFonts w:ascii="Garamond" w:hAnsi="Garamond"/>
        </w:rPr>
        <w:t xml:space="preserve">. al. (2015, August 4). Diet and specific microbial exposure trigger features of environmental enteropathy in a novel murine model. </w:t>
      </w:r>
      <w:hyperlink r:id="rId3" w:history="1">
        <w:r w:rsidRPr="00913826">
          <w:rPr>
            <w:rStyle w:val="Hyperlink"/>
            <w:rFonts w:ascii="Garamond" w:hAnsi="Garamond"/>
          </w:rPr>
          <w:t>https://pubmed.ncbi.nlm.nih.gov/26241678/</w:t>
        </w:r>
      </w:hyperlink>
      <w:r w:rsidRPr="00913826">
        <w:rPr>
          <w:rFonts w:ascii="Garamond" w:hAnsi="Garamond"/>
        </w:rPr>
        <w:t>.</w:t>
      </w:r>
    </w:p>
  </w:footnote>
  <w:footnote w:id="3">
    <w:p w:rsidR="00B17A6D" w:rsidRPr="00913826" w:rsidRDefault="00B17A6D">
      <w:pPr>
        <w:pStyle w:val="FootnoteText"/>
        <w:rPr>
          <w:rFonts w:ascii="Garamond" w:hAnsi="Garamond"/>
        </w:rPr>
      </w:pPr>
      <w:r w:rsidRPr="00913826">
        <w:rPr>
          <w:rStyle w:val="FootnoteReference"/>
          <w:rFonts w:ascii="Garamond" w:hAnsi="Garamond"/>
        </w:rPr>
        <w:footnoteRef/>
      </w:r>
      <w:r w:rsidRPr="00913826">
        <w:rPr>
          <w:rFonts w:ascii="Garamond" w:hAnsi="Garamond"/>
        </w:rPr>
        <w:t xml:space="preserve"> </w:t>
      </w:r>
      <w:r w:rsidRPr="00913826">
        <w:rPr>
          <w:rFonts w:ascii="Garamond" w:hAnsi="Garamond"/>
          <w:i/>
        </w:rPr>
        <w:t xml:space="preserve">See </w:t>
      </w:r>
      <w:r w:rsidRPr="00913826">
        <w:rPr>
          <w:rFonts w:ascii="Garamond" w:hAnsi="Garamond"/>
        </w:rPr>
        <w:t>US Burden of Disease Collaborators. The State of US Health, 1990-2010: Burden of Diseases, Injuries, and Risk Factors. JAMA. 2013</w:t>
      </w:r>
      <w:proofErr w:type="gramStart"/>
      <w:r w:rsidRPr="00913826">
        <w:rPr>
          <w:rFonts w:ascii="Garamond" w:hAnsi="Garamond"/>
        </w:rPr>
        <w:t>;310</w:t>
      </w:r>
      <w:proofErr w:type="gramEnd"/>
      <w:r w:rsidRPr="00913826">
        <w:rPr>
          <w:rFonts w:ascii="Garamond" w:hAnsi="Garamond"/>
        </w:rPr>
        <w:t xml:space="preserve">(6):591–606. doi:10.1001/jama.2013.13805 </w:t>
      </w:r>
    </w:p>
  </w:footnote>
  <w:footnote w:id="4">
    <w:p w:rsidR="00B17A6D" w:rsidRPr="00913826" w:rsidRDefault="00B17A6D">
      <w:pPr>
        <w:pStyle w:val="FootnoteText"/>
        <w:rPr>
          <w:rFonts w:ascii="Garamond" w:hAnsi="Garamond"/>
        </w:rPr>
      </w:pPr>
      <w:r w:rsidRPr="00913826">
        <w:rPr>
          <w:rStyle w:val="FootnoteReference"/>
          <w:rFonts w:ascii="Garamond" w:hAnsi="Garamond"/>
        </w:rPr>
        <w:footnoteRef/>
      </w:r>
      <w:r w:rsidRPr="00913826">
        <w:rPr>
          <w:rFonts w:ascii="Garamond" w:hAnsi="Garamond"/>
        </w:rPr>
        <w:t xml:space="preserve">   </w:t>
      </w:r>
      <w:hyperlink r:id="rId4" w:history="1">
        <w:r w:rsidRPr="00913826">
          <w:rPr>
            <w:rStyle w:val="Hyperlink"/>
            <w:rFonts w:ascii="Garamond" w:hAnsi="Garamond"/>
          </w:rPr>
          <w:t>https://lgmatech.com/wp-content/uploads/2020/08/CA-LGMA-Metrics-August-2020_Final_Clean_9-18-20.pdf</w:t>
        </w:r>
      </w:hyperlink>
      <w:r w:rsidRPr="00913826">
        <w:rPr>
          <w:rFonts w:ascii="Garamond" w:hAnsi="Garamond"/>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B9"/>
    <w:rsid w:val="00003073"/>
    <w:rsid w:val="0001012F"/>
    <w:rsid w:val="000375B9"/>
    <w:rsid w:val="00041146"/>
    <w:rsid w:val="00062EA3"/>
    <w:rsid w:val="00067B8B"/>
    <w:rsid w:val="000B342B"/>
    <w:rsid w:val="000D08BD"/>
    <w:rsid w:val="00107AC6"/>
    <w:rsid w:val="0012022D"/>
    <w:rsid w:val="0013514E"/>
    <w:rsid w:val="00164F18"/>
    <w:rsid w:val="00212622"/>
    <w:rsid w:val="00246D2E"/>
    <w:rsid w:val="002677F5"/>
    <w:rsid w:val="00282062"/>
    <w:rsid w:val="002B1CFF"/>
    <w:rsid w:val="002C6376"/>
    <w:rsid w:val="003262B4"/>
    <w:rsid w:val="00335575"/>
    <w:rsid w:val="00344178"/>
    <w:rsid w:val="0040420C"/>
    <w:rsid w:val="00455A4B"/>
    <w:rsid w:val="004C318F"/>
    <w:rsid w:val="00512AC7"/>
    <w:rsid w:val="00544631"/>
    <w:rsid w:val="005813CF"/>
    <w:rsid w:val="005A6B64"/>
    <w:rsid w:val="005B105A"/>
    <w:rsid w:val="005D65A8"/>
    <w:rsid w:val="005D736F"/>
    <w:rsid w:val="006136FE"/>
    <w:rsid w:val="006362EF"/>
    <w:rsid w:val="00715465"/>
    <w:rsid w:val="00753B31"/>
    <w:rsid w:val="007B2602"/>
    <w:rsid w:val="007B415B"/>
    <w:rsid w:val="007E3CA6"/>
    <w:rsid w:val="008223D3"/>
    <w:rsid w:val="008C651D"/>
    <w:rsid w:val="00913826"/>
    <w:rsid w:val="00944F3D"/>
    <w:rsid w:val="00947784"/>
    <w:rsid w:val="009A160B"/>
    <w:rsid w:val="00A81597"/>
    <w:rsid w:val="00A96E59"/>
    <w:rsid w:val="00AB3A8D"/>
    <w:rsid w:val="00AC367A"/>
    <w:rsid w:val="00AF6101"/>
    <w:rsid w:val="00B17A6D"/>
    <w:rsid w:val="00B25939"/>
    <w:rsid w:val="00B557E7"/>
    <w:rsid w:val="00B663B1"/>
    <w:rsid w:val="00B73823"/>
    <w:rsid w:val="00BD56DF"/>
    <w:rsid w:val="00C260B9"/>
    <w:rsid w:val="00C8358C"/>
    <w:rsid w:val="00C95250"/>
    <w:rsid w:val="00CD48CF"/>
    <w:rsid w:val="00CF74DE"/>
    <w:rsid w:val="00D037DF"/>
    <w:rsid w:val="00D360A8"/>
    <w:rsid w:val="00D714F0"/>
    <w:rsid w:val="00DA1AD3"/>
    <w:rsid w:val="00DA20AA"/>
    <w:rsid w:val="00DC6114"/>
    <w:rsid w:val="00DC7DB0"/>
    <w:rsid w:val="00DD7710"/>
    <w:rsid w:val="00DE3BA9"/>
    <w:rsid w:val="00E20A02"/>
    <w:rsid w:val="00E30485"/>
    <w:rsid w:val="00E34322"/>
    <w:rsid w:val="00E87115"/>
    <w:rsid w:val="00EA4278"/>
    <w:rsid w:val="00EC1F59"/>
    <w:rsid w:val="00ED0E18"/>
    <w:rsid w:val="00EE74ED"/>
    <w:rsid w:val="00F02455"/>
    <w:rsid w:val="00FA0115"/>
    <w:rsid w:val="00FD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22EDF-9FE9-473D-928B-5C3440F4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0B9"/>
    <w:rPr>
      <w:color w:val="0563C1" w:themeColor="hyperlink"/>
      <w:u w:val="single"/>
    </w:rPr>
  </w:style>
  <w:style w:type="character" w:styleId="FollowedHyperlink">
    <w:name w:val="FollowedHyperlink"/>
    <w:basedOn w:val="DefaultParagraphFont"/>
    <w:uiPriority w:val="99"/>
    <w:semiHidden/>
    <w:unhideWhenUsed/>
    <w:rsid w:val="00A81597"/>
    <w:rPr>
      <w:color w:val="954F72" w:themeColor="followedHyperlink"/>
      <w:u w:val="single"/>
    </w:rPr>
  </w:style>
  <w:style w:type="paragraph" w:styleId="FootnoteText">
    <w:name w:val="footnote text"/>
    <w:basedOn w:val="Normal"/>
    <w:link w:val="FootnoteTextChar"/>
    <w:uiPriority w:val="99"/>
    <w:unhideWhenUsed/>
    <w:rsid w:val="007E3CA6"/>
    <w:pPr>
      <w:spacing w:after="0" w:line="240" w:lineRule="auto"/>
    </w:pPr>
    <w:rPr>
      <w:sz w:val="20"/>
      <w:szCs w:val="20"/>
    </w:rPr>
  </w:style>
  <w:style w:type="character" w:customStyle="1" w:styleId="FootnoteTextChar">
    <w:name w:val="Footnote Text Char"/>
    <w:basedOn w:val="DefaultParagraphFont"/>
    <w:link w:val="FootnoteText"/>
    <w:uiPriority w:val="99"/>
    <w:rsid w:val="007E3CA6"/>
    <w:rPr>
      <w:sz w:val="20"/>
      <w:szCs w:val="20"/>
    </w:rPr>
  </w:style>
  <w:style w:type="character" w:styleId="FootnoteReference">
    <w:name w:val="footnote reference"/>
    <w:basedOn w:val="DefaultParagraphFont"/>
    <w:uiPriority w:val="99"/>
    <w:semiHidden/>
    <w:unhideWhenUsed/>
    <w:rsid w:val="007E3C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ubmed.ncbi.nlm.nih.gov/26241678/" TargetMode="External"/><Relationship Id="rId2" Type="http://schemas.openxmlformats.org/officeDocument/2006/relationships/hyperlink" Target="https://meridian.allenpress.com/jfp/article/61/9/1229/168212/Foodborne-Illness-in-the-Elderly" TargetMode="External"/><Relationship Id="rId1" Type="http://schemas.openxmlformats.org/officeDocument/2006/relationships/hyperlink" Target="https://www.cdc.gov/foodsafety/ifsac/pdf/P19-2019-report-TriAgency-508.pdf" TargetMode="External"/><Relationship Id="rId4" Type="http://schemas.openxmlformats.org/officeDocument/2006/relationships/hyperlink" Target="https://lgmatech.com/wp-content/uploads/2020/08/CA-LGMA-Metrics-August-2020_Final_Clean_9-18-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7E020-1A1B-47D9-A284-D887AA9A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Gremillion</dc:creator>
  <cp:keywords/>
  <dc:description/>
  <cp:lastModifiedBy>Jazzmyn Peterson</cp:lastModifiedBy>
  <cp:revision>2</cp:revision>
  <cp:lastPrinted>2022-04-05T13:38:00Z</cp:lastPrinted>
  <dcterms:created xsi:type="dcterms:W3CDTF">2022-04-05T20:00:00Z</dcterms:created>
  <dcterms:modified xsi:type="dcterms:W3CDTF">2022-04-05T20:00:00Z</dcterms:modified>
</cp:coreProperties>
</file>