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5BFC" w14:textId="71A758B5" w:rsidR="00D0655C" w:rsidRPr="00FF44A8" w:rsidRDefault="00D0655C" w:rsidP="00DA0B9D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FF44A8">
        <w:rPr>
          <w:rFonts w:ascii="Times New Roman" w:hAnsi="Times New Roman" w:cs="Times New Roman"/>
          <w:b/>
          <w:bCs/>
          <w:sz w:val="36"/>
          <w:szCs w:val="36"/>
          <w:u w:val="single"/>
        </w:rPr>
        <w:t>Women Pay More</w:t>
      </w:r>
      <w:r w:rsidR="00FF44A8">
        <w:rPr>
          <w:rFonts w:ascii="Times New Roman" w:hAnsi="Times New Roman" w:cs="Times New Roman"/>
          <w:b/>
          <w:bCs/>
          <w:sz w:val="36"/>
          <w:szCs w:val="36"/>
          <w:u w:val="single"/>
        </w:rPr>
        <w:t>:</w:t>
      </w:r>
    </w:p>
    <w:p w14:paraId="41EEEDE6" w14:textId="72457932" w:rsidR="00B341C3" w:rsidRPr="00A26D6D" w:rsidRDefault="00DA0B9D" w:rsidP="00DA0B9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26D6D">
        <w:rPr>
          <w:rFonts w:ascii="Times New Roman" w:hAnsi="Times New Roman" w:cs="Times New Roman"/>
          <w:b/>
          <w:bCs/>
          <w:sz w:val="36"/>
          <w:szCs w:val="36"/>
        </w:rPr>
        <w:t xml:space="preserve">Auto Insurance Gender Discrimination in Louisiana </w:t>
      </w:r>
    </w:p>
    <w:p w14:paraId="77200388" w14:textId="707E4025" w:rsidR="007450F1" w:rsidRPr="007450F1" w:rsidRDefault="007450F1" w:rsidP="00DA0B9D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450F1" w:rsidRPr="007450F1" w14:paraId="6D72B016" w14:textId="77777777" w:rsidTr="007572CC">
        <w:tc>
          <w:tcPr>
            <w:tcW w:w="2337" w:type="dxa"/>
          </w:tcPr>
          <w:p w14:paraId="128710DD" w14:textId="1E4CD4F8" w:rsidR="007450F1" w:rsidRPr="0079626A" w:rsidRDefault="007450F1" w:rsidP="00DA0B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26A">
              <w:rPr>
                <w:rFonts w:ascii="Times New Roman" w:hAnsi="Times New Roman" w:cs="Times New Roman"/>
                <w:b/>
                <w:bCs/>
              </w:rPr>
              <w:t>Auto Insurer</w:t>
            </w:r>
          </w:p>
        </w:tc>
        <w:tc>
          <w:tcPr>
            <w:tcW w:w="2337" w:type="dxa"/>
          </w:tcPr>
          <w:p w14:paraId="629EBC10" w14:textId="1D64D71E" w:rsidR="007450F1" w:rsidRPr="007450F1" w:rsidRDefault="007450F1" w:rsidP="00DA0B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50F1">
              <w:rPr>
                <w:rFonts w:ascii="Times New Roman" w:hAnsi="Times New Roman" w:cs="Times New Roman"/>
                <w:b/>
                <w:bCs/>
              </w:rPr>
              <w:t>Average Premium Charged-35 Year Old Male</w:t>
            </w:r>
          </w:p>
        </w:tc>
        <w:tc>
          <w:tcPr>
            <w:tcW w:w="2338" w:type="dxa"/>
          </w:tcPr>
          <w:p w14:paraId="7EA1911E" w14:textId="4027A115" w:rsidR="007450F1" w:rsidRPr="007450F1" w:rsidRDefault="007450F1" w:rsidP="00DA0B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50F1">
              <w:rPr>
                <w:rFonts w:ascii="Times New Roman" w:hAnsi="Times New Roman" w:cs="Times New Roman"/>
                <w:b/>
                <w:bCs/>
              </w:rPr>
              <w:t>Average Premium Charged-35 Year Old Female</w:t>
            </w:r>
          </w:p>
        </w:tc>
        <w:tc>
          <w:tcPr>
            <w:tcW w:w="2338" w:type="dxa"/>
          </w:tcPr>
          <w:p w14:paraId="17492DE7" w14:textId="52A37C07" w:rsidR="007450F1" w:rsidRPr="007450F1" w:rsidRDefault="007572CC" w:rsidP="00DA0B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Premium Percentage Increase from Male to Female</w:t>
            </w:r>
          </w:p>
        </w:tc>
      </w:tr>
      <w:tr w:rsidR="007450F1" w:rsidRPr="007450F1" w14:paraId="60405DCD" w14:textId="77777777" w:rsidTr="007572CC">
        <w:tc>
          <w:tcPr>
            <w:tcW w:w="2337" w:type="dxa"/>
          </w:tcPr>
          <w:p w14:paraId="63DA2C88" w14:textId="5BF60AE7" w:rsidR="007450F1" w:rsidRPr="0079626A" w:rsidRDefault="007450F1" w:rsidP="00DA0B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26A">
              <w:rPr>
                <w:rFonts w:ascii="Times New Roman" w:hAnsi="Times New Roman" w:cs="Times New Roman"/>
                <w:b/>
                <w:bCs/>
              </w:rPr>
              <w:t>Allstate</w:t>
            </w:r>
          </w:p>
        </w:tc>
        <w:tc>
          <w:tcPr>
            <w:tcW w:w="2337" w:type="dxa"/>
          </w:tcPr>
          <w:p w14:paraId="43EB5704" w14:textId="0E67B808" w:rsidR="007450F1" w:rsidRPr="007450F1" w:rsidRDefault="0079626A" w:rsidP="00DA0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$1,428</w:t>
            </w:r>
          </w:p>
        </w:tc>
        <w:tc>
          <w:tcPr>
            <w:tcW w:w="2338" w:type="dxa"/>
          </w:tcPr>
          <w:p w14:paraId="367606BA" w14:textId="5A8C7A7C" w:rsidR="007450F1" w:rsidRPr="007450F1" w:rsidRDefault="00706A24" w:rsidP="00DA0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$1,379</w:t>
            </w:r>
          </w:p>
        </w:tc>
        <w:tc>
          <w:tcPr>
            <w:tcW w:w="2338" w:type="dxa"/>
          </w:tcPr>
          <w:p w14:paraId="68ECD1FA" w14:textId="7AF26A21" w:rsidR="007450F1" w:rsidRPr="007450F1" w:rsidRDefault="00A03423" w:rsidP="00DA0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-3%</w:t>
            </w:r>
          </w:p>
        </w:tc>
      </w:tr>
      <w:tr w:rsidR="007450F1" w:rsidRPr="007450F1" w14:paraId="4B5C2532" w14:textId="77777777" w:rsidTr="007572CC">
        <w:tc>
          <w:tcPr>
            <w:tcW w:w="2337" w:type="dxa"/>
          </w:tcPr>
          <w:p w14:paraId="205B7696" w14:textId="3C031975" w:rsidR="007450F1" w:rsidRPr="0079626A" w:rsidRDefault="007450F1" w:rsidP="00DA0B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26A">
              <w:rPr>
                <w:rFonts w:ascii="Times New Roman" w:hAnsi="Times New Roman" w:cs="Times New Roman"/>
                <w:b/>
                <w:bCs/>
              </w:rPr>
              <w:t xml:space="preserve">Auto Club </w:t>
            </w:r>
          </w:p>
        </w:tc>
        <w:tc>
          <w:tcPr>
            <w:tcW w:w="2337" w:type="dxa"/>
          </w:tcPr>
          <w:p w14:paraId="6FE12EA8" w14:textId="51CAB629" w:rsidR="007450F1" w:rsidRPr="007450F1" w:rsidRDefault="0079626A" w:rsidP="00DA0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$1,655</w:t>
            </w:r>
          </w:p>
        </w:tc>
        <w:tc>
          <w:tcPr>
            <w:tcW w:w="2338" w:type="dxa"/>
          </w:tcPr>
          <w:p w14:paraId="2CC7DEE4" w14:textId="296003A5" w:rsidR="007450F1" w:rsidRPr="007450F1" w:rsidRDefault="00706A24" w:rsidP="00DA0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$1,655</w:t>
            </w:r>
          </w:p>
        </w:tc>
        <w:tc>
          <w:tcPr>
            <w:tcW w:w="2338" w:type="dxa"/>
          </w:tcPr>
          <w:p w14:paraId="0ABE8E0C" w14:textId="2F53995D" w:rsidR="007450F1" w:rsidRPr="007450F1" w:rsidRDefault="00706A24" w:rsidP="00DA0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7450F1" w:rsidRPr="007450F1" w14:paraId="68FCE7F1" w14:textId="77777777" w:rsidTr="007572CC">
        <w:tc>
          <w:tcPr>
            <w:tcW w:w="2337" w:type="dxa"/>
          </w:tcPr>
          <w:p w14:paraId="290BC9E7" w14:textId="034062ED" w:rsidR="007450F1" w:rsidRPr="0079626A" w:rsidRDefault="007450F1" w:rsidP="00DA0B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26A">
              <w:rPr>
                <w:rFonts w:ascii="Times New Roman" w:hAnsi="Times New Roman" w:cs="Times New Roman"/>
                <w:b/>
                <w:bCs/>
              </w:rPr>
              <w:t>GEICO</w:t>
            </w:r>
          </w:p>
        </w:tc>
        <w:tc>
          <w:tcPr>
            <w:tcW w:w="2337" w:type="dxa"/>
          </w:tcPr>
          <w:p w14:paraId="444D7B7C" w14:textId="19EC0C87" w:rsidR="007450F1" w:rsidRPr="007450F1" w:rsidRDefault="0079626A" w:rsidP="00DA0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$998</w:t>
            </w:r>
          </w:p>
        </w:tc>
        <w:tc>
          <w:tcPr>
            <w:tcW w:w="2338" w:type="dxa"/>
          </w:tcPr>
          <w:p w14:paraId="6B871258" w14:textId="69210507" w:rsidR="007450F1" w:rsidRPr="007450F1" w:rsidRDefault="00706A24" w:rsidP="00DA0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$1,167</w:t>
            </w:r>
          </w:p>
        </w:tc>
        <w:tc>
          <w:tcPr>
            <w:tcW w:w="2338" w:type="dxa"/>
          </w:tcPr>
          <w:p w14:paraId="37D7B30E" w14:textId="5349E92F" w:rsidR="007450F1" w:rsidRPr="007450F1" w:rsidRDefault="00A03423" w:rsidP="00DA0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17%</w:t>
            </w:r>
          </w:p>
        </w:tc>
      </w:tr>
      <w:tr w:rsidR="007450F1" w:rsidRPr="007450F1" w14:paraId="0350A7DF" w14:textId="77777777" w:rsidTr="007572CC">
        <w:tc>
          <w:tcPr>
            <w:tcW w:w="2337" w:type="dxa"/>
          </w:tcPr>
          <w:p w14:paraId="495AE9CF" w14:textId="12A3E7CE" w:rsidR="007450F1" w:rsidRPr="0079626A" w:rsidRDefault="007450F1" w:rsidP="00DA0B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26A">
              <w:rPr>
                <w:rFonts w:ascii="Times New Roman" w:hAnsi="Times New Roman" w:cs="Times New Roman"/>
                <w:b/>
                <w:bCs/>
              </w:rPr>
              <w:t>Kemper</w:t>
            </w:r>
          </w:p>
        </w:tc>
        <w:tc>
          <w:tcPr>
            <w:tcW w:w="2337" w:type="dxa"/>
          </w:tcPr>
          <w:p w14:paraId="3FC87B32" w14:textId="1CBF2826" w:rsidR="007450F1" w:rsidRPr="007450F1" w:rsidRDefault="0079626A" w:rsidP="00DA0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$1,246</w:t>
            </w:r>
          </w:p>
        </w:tc>
        <w:tc>
          <w:tcPr>
            <w:tcW w:w="2338" w:type="dxa"/>
          </w:tcPr>
          <w:p w14:paraId="092B1492" w14:textId="3812B191" w:rsidR="007450F1" w:rsidRPr="007450F1" w:rsidRDefault="00706A24" w:rsidP="00DA0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$1,092</w:t>
            </w:r>
          </w:p>
        </w:tc>
        <w:tc>
          <w:tcPr>
            <w:tcW w:w="2338" w:type="dxa"/>
          </w:tcPr>
          <w:p w14:paraId="54C0CBA0" w14:textId="0529E747" w:rsidR="007450F1" w:rsidRPr="007450F1" w:rsidRDefault="00A03423" w:rsidP="00DA0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-12%</w:t>
            </w:r>
          </w:p>
        </w:tc>
      </w:tr>
      <w:tr w:rsidR="007450F1" w:rsidRPr="007450F1" w14:paraId="5BA74F00" w14:textId="77777777" w:rsidTr="007572CC">
        <w:tc>
          <w:tcPr>
            <w:tcW w:w="2337" w:type="dxa"/>
          </w:tcPr>
          <w:p w14:paraId="4844DB52" w14:textId="19885C4D" w:rsidR="007450F1" w:rsidRPr="0079626A" w:rsidRDefault="007450F1" w:rsidP="00DA0B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26A">
              <w:rPr>
                <w:rFonts w:ascii="Times New Roman" w:hAnsi="Times New Roman" w:cs="Times New Roman"/>
                <w:b/>
                <w:bCs/>
              </w:rPr>
              <w:t>Metropolitan</w:t>
            </w:r>
            <w:r w:rsidR="007D5A1D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2337" w:type="dxa"/>
          </w:tcPr>
          <w:p w14:paraId="149EB34F" w14:textId="5176590F" w:rsidR="007450F1" w:rsidRPr="007450F1" w:rsidRDefault="0079626A" w:rsidP="00DA0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$2,437</w:t>
            </w:r>
          </w:p>
        </w:tc>
        <w:tc>
          <w:tcPr>
            <w:tcW w:w="2338" w:type="dxa"/>
          </w:tcPr>
          <w:p w14:paraId="27519200" w14:textId="5029A801" w:rsidR="007450F1" w:rsidRPr="007450F1" w:rsidRDefault="00706A24" w:rsidP="00DA0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$2,457</w:t>
            </w:r>
          </w:p>
        </w:tc>
        <w:tc>
          <w:tcPr>
            <w:tcW w:w="2338" w:type="dxa"/>
          </w:tcPr>
          <w:p w14:paraId="7F5ADB98" w14:textId="3D5240BE" w:rsidR="007450F1" w:rsidRPr="007450F1" w:rsidRDefault="00A03423" w:rsidP="00DA0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1%</w:t>
            </w:r>
          </w:p>
        </w:tc>
      </w:tr>
      <w:tr w:rsidR="007450F1" w:rsidRPr="007450F1" w14:paraId="449A6740" w14:textId="77777777" w:rsidTr="007572CC">
        <w:tc>
          <w:tcPr>
            <w:tcW w:w="2337" w:type="dxa"/>
          </w:tcPr>
          <w:p w14:paraId="3C8EABB6" w14:textId="24ACD053" w:rsidR="007450F1" w:rsidRPr="0079626A" w:rsidRDefault="007450F1" w:rsidP="00DA0B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26A">
              <w:rPr>
                <w:rFonts w:ascii="Times New Roman" w:hAnsi="Times New Roman" w:cs="Times New Roman"/>
                <w:b/>
                <w:bCs/>
              </w:rPr>
              <w:t>Progressive</w:t>
            </w:r>
          </w:p>
        </w:tc>
        <w:tc>
          <w:tcPr>
            <w:tcW w:w="2337" w:type="dxa"/>
          </w:tcPr>
          <w:p w14:paraId="485E307F" w14:textId="41E6DC01" w:rsidR="007450F1" w:rsidRPr="007450F1" w:rsidRDefault="0079626A" w:rsidP="00DA0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$1,285</w:t>
            </w:r>
          </w:p>
        </w:tc>
        <w:tc>
          <w:tcPr>
            <w:tcW w:w="2338" w:type="dxa"/>
          </w:tcPr>
          <w:p w14:paraId="607747A2" w14:textId="7AE2A032" w:rsidR="007450F1" w:rsidRPr="007450F1" w:rsidRDefault="00706A24" w:rsidP="00DA0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$1,374</w:t>
            </w:r>
          </w:p>
        </w:tc>
        <w:tc>
          <w:tcPr>
            <w:tcW w:w="2338" w:type="dxa"/>
          </w:tcPr>
          <w:p w14:paraId="5B040756" w14:textId="39ACBFE8" w:rsidR="007450F1" w:rsidRPr="007450F1" w:rsidRDefault="00A03423" w:rsidP="00DA0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</w:tc>
      </w:tr>
      <w:tr w:rsidR="007450F1" w:rsidRPr="007450F1" w14:paraId="14DC1F5D" w14:textId="77777777" w:rsidTr="007572CC">
        <w:tc>
          <w:tcPr>
            <w:tcW w:w="2337" w:type="dxa"/>
          </w:tcPr>
          <w:p w14:paraId="7277E980" w14:textId="4B2DB7E5" w:rsidR="007450F1" w:rsidRPr="0079626A" w:rsidRDefault="007450F1" w:rsidP="00DA0B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26A">
              <w:rPr>
                <w:rFonts w:ascii="Times New Roman" w:hAnsi="Times New Roman" w:cs="Times New Roman"/>
                <w:b/>
                <w:bCs/>
              </w:rPr>
              <w:t>Safeway</w:t>
            </w:r>
          </w:p>
        </w:tc>
        <w:tc>
          <w:tcPr>
            <w:tcW w:w="2337" w:type="dxa"/>
          </w:tcPr>
          <w:p w14:paraId="7D45B8E0" w14:textId="6973228E" w:rsidR="007450F1" w:rsidRPr="007450F1" w:rsidRDefault="0079626A" w:rsidP="00DA0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$1,198</w:t>
            </w:r>
          </w:p>
        </w:tc>
        <w:tc>
          <w:tcPr>
            <w:tcW w:w="2338" w:type="dxa"/>
          </w:tcPr>
          <w:p w14:paraId="76D2606F" w14:textId="6A1BCF1A" w:rsidR="007450F1" w:rsidRPr="007450F1" w:rsidRDefault="00706A24" w:rsidP="00DA0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$1,146</w:t>
            </w:r>
          </w:p>
        </w:tc>
        <w:tc>
          <w:tcPr>
            <w:tcW w:w="2338" w:type="dxa"/>
          </w:tcPr>
          <w:p w14:paraId="7FCA7449" w14:textId="6AC66D26" w:rsidR="007450F1" w:rsidRPr="007450F1" w:rsidRDefault="00A03423" w:rsidP="00DA0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-4%</w:t>
            </w:r>
          </w:p>
        </w:tc>
      </w:tr>
      <w:tr w:rsidR="007450F1" w:rsidRPr="007450F1" w14:paraId="0A6DD43B" w14:textId="77777777" w:rsidTr="007572CC">
        <w:tc>
          <w:tcPr>
            <w:tcW w:w="2337" w:type="dxa"/>
          </w:tcPr>
          <w:p w14:paraId="5BABFC97" w14:textId="1DFF36C5" w:rsidR="007450F1" w:rsidRPr="0079626A" w:rsidRDefault="007450F1" w:rsidP="00DA0B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26A">
              <w:rPr>
                <w:rFonts w:ascii="Times New Roman" w:hAnsi="Times New Roman" w:cs="Times New Roman"/>
                <w:b/>
                <w:bCs/>
              </w:rPr>
              <w:t>Southern Farm Bureau</w:t>
            </w:r>
          </w:p>
        </w:tc>
        <w:tc>
          <w:tcPr>
            <w:tcW w:w="2337" w:type="dxa"/>
          </w:tcPr>
          <w:p w14:paraId="70060378" w14:textId="37BB9C5C" w:rsidR="007450F1" w:rsidRPr="007450F1" w:rsidRDefault="0079626A" w:rsidP="00DA0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$565</w:t>
            </w:r>
          </w:p>
        </w:tc>
        <w:tc>
          <w:tcPr>
            <w:tcW w:w="2338" w:type="dxa"/>
          </w:tcPr>
          <w:p w14:paraId="31C011E6" w14:textId="55427745" w:rsidR="007450F1" w:rsidRPr="007450F1" w:rsidRDefault="00706A24" w:rsidP="00DA0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$576</w:t>
            </w:r>
          </w:p>
        </w:tc>
        <w:tc>
          <w:tcPr>
            <w:tcW w:w="2338" w:type="dxa"/>
          </w:tcPr>
          <w:p w14:paraId="307B6F69" w14:textId="193F4EB7" w:rsidR="007450F1" w:rsidRPr="007450F1" w:rsidRDefault="00A03423" w:rsidP="00DA0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</w:t>
            </w:r>
          </w:p>
        </w:tc>
      </w:tr>
      <w:tr w:rsidR="007450F1" w:rsidRPr="007450F1" w14:paraId="3CD75138" w14:textId="77777777" w:rsidTr="007572CC">
        <w:tc>
          <w:tcPr>
            <w:tcW w:w="2337" w:type="dxa"/>
          </w:tcPr>
          <w:p w14:paraId="3273A10B" w14:textId="351F2728" w:rsidR="007450F1" w:rsidRPr="0079626A" w:rsidRDefault="007450F1" w:rsidP="00DA0B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26A">
              <w:rPr>
                <w:rFonts w:ascii="Times New Roman" w:hAnsi="Times New Roman" w:cs="Times New Roman"/>
                <w:b/>
                <w:bCs/>
              </w:rPr>
              <w:t xml:space="preserve">State Farm </w:t>
            </w:r>
          </w:p>
        </w:tc>
        <w:tc>
          <w:tcPr>
            <w:tcW w:w="2337" w:type="dxa"/>
          </w:tcPr>
          <w:p w14:paraId="18F5F306" w14:textId="5E0657D1" w:rsidR="007450F1" w:rsidRPr="007450F1" w:rsidRDefault="0079626A" w:rsidP="00DA0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$931</w:t>
            </w:r>
          </w:p>
        </w:tc>
        <w:tc>
          <w:tcPr>
            <w:tcW w:w="2338" w:type="dxa"/>
          </w:tcPr>
          <w:p w14:paraId="2E78E05B" w14:textId="08A47C9A" w:rsidR="007450F1" w:rsidRPr="007450F1" w:rsidRDefault="00706A24" w:rsidP="00DA0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$931</w:t>
            </w:r>
          </w:p>
        </w:tc>
        <w:tc>
          <w:tcPr>
            <w:tcW w:w="2338" w:type="dxa"/>
          </w:tcPr>
          <w:p w14:paraId="6E43DF38" w14:textId="30DF5033" w:rsidR="007450F1" w:rsidRPr="007450F1" w:rsidRDefault="00A03423" w:rsidP="00DA0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7450F1" w:rsidRPr="007450F1" w14:paraId="0D9096DE" w14:textId="77777777" w:rsidTr="007572CC">
        <w:tc>
          <w:tcPr>
            <w:tcW w:w="2337" w:type="dxa"/>
          </w:tcPr>
          <w:p w14:paraId="2B539E26" w14:textId="30320601" w:rsidR="007450F1" w:rsidRPr="0079626A" w:rsidRDefault="007450F1" w:rsidP="00DA0B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26A">
              <w:rPr>
                <w:rFonts w:ascii="Times New Roman" w:hAnsi="Times New Roman" w:cs="Times New Roman"/>
                <w:b/>
                <w:bCs/>
              </w:rPr>
              <w:t>USAA</w:t>
            </w:r>
          </w:p>
        </w:tc>
        <w:tc>
          <w:tcPr>
            <w:tcW w:w="2337" w:type="dxa"/>
          </w:tcPr>
          <w:p w14:paraId="41E6D240" w14:textId="2F4E032F" w:rsidR="007450F1" w:rsidRPr="007450F1" w:rsidRDefault="0079626A" w:rsidP="00DA0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$678</w:t>
            </w:r>
          </w:p>
        </w:tc>
        <w:tc>
          <w:tcPr>
            <w:tcW w:w="2338" w:type="dxa"/>
          </w:tcPr>
          <w:p w14:paraId="4F1CAECD" w14:textId="57964A7B" w:rsidR="007450F1" w:rsidRPr="007450F1" w:rsidRDefault="00706A24" w:rsidP="00DA0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$699</w:t>
            </w:r>
          </w:p>
        </w:tc>
        <w:tc>
          <w:tcPr>
            <w:tcW w:w="2338" w:type="dxa"/>
          </w:tcPr>
          <w:p w14:paraId="1A6AC83D" w14:textId="68A6A954" w:rsidR="007450F1" w:rsidRPr="007450F1" w:rsidRDefault="00A03423" w:rsidP="00DA0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3%</w:t>
            </w:r>
          </w:p>
        </w:tc>
      </w:tr>
    </w:tbl>
    <w:p w14:paraId="366FADAC" w14:textId="7C0E52D2" w:rsidR="007450F1" w:rsidRPr="00FF44A8" w:rsidRDefault="007D5A1D" w:rsidP="00FF44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FF44A8">
        <w:rPr>
          <w:rFonts w:ascii="Times New Roman" w:hAnsi="Times New Roman" w:cs="Times New Roman"/>
        </w:rPr>
        <w:t>Metropolitan has since been purchased by Farmers Insurance Group</w:t>
      </w:r>
    </w:p>
    <w:p w14:paraId="47FC19F3" w14:textId="77777777" w:rsidR="007D5A1D" w:rsidRDefault="007D5A1D" w:rsidP="00AB17B8">
      <w:pPr>
        <w:rPr>
          <w:rFonts w:ascii="Times New Roman" w:hAnsi="Times New Roman" w:cs="Times New Roman"/>
        </w:rPr>
      </w:pPr>
    </w:p>
    <w:p w14:paraId="537AB53C" w14:textId="1388D670" w:rsidR="00326048" w:rsidRPr="00326048" w:rsidRDefault="00326048" w:rsidP="00AB17B8">
      <w:pPr>
        <w:rPr>
          <w:rFonts w:ascii="Times New Roman" w:hAnsi="Times New Roman" w:cs="Times New Roman"/>
        </w:rPr>
      </w:pPr>
      <w:r w:rsidRPr="00326048">
        <w:rPr>
          <w:rFonts w:ascii="Times New Roman" w:hAnsi="Times New Roman" w:cs="Times New Roman"/>
        </w:rPr>
        <w:t xml:space="preserve">Consumer Federation of America (CFA) analyzed </w:t>
      </w:r>
      <w:r w:rsidR="00D0655C">
        <w:rPr>
          <w:rFonts w:ascii="Times New Roman" w:hAnsi="Times New Roman" w:cs="Times New Roman"/>
        </w:rPr>
        <w:t xml:space="preserve">auto insurance premium </w:t>
      </w:r>
      <w:r w:rsidRPr="00326048">
        <w:rPr>
          <w:rFonts w:ascii="Times New Roman" w:hAnsi="Times New Roman" w:cs="Times New Roman"/>
        </w:rPr>
        <w:t xml:space="preserve">data </w:t>
      </w:r>
      <w:r w:rsidR="00D0655C">
        <w:rPr>
          <w:rFonts w:ascii="Times New Roman" w:hAnsi="Times New Roman" w:cs="Times New Roman"/>
        </w:rPr>
        <w:t>for</w:t>
      </w:r>
      <w:r w:rsidRPr="00326048">
        <w:rPr>
          <w:rFonts w:ascii="Times New Roman" w:hAnsi="Times New Roman" w:cs="Times New Roman"/>
        </w:rPr>
        <w:t xml:space="preserve"> Louisiana</w:t>
      </w:r>
      <w:r w:rsidR="00D0655C">
        <w:rPr>
          <w:rFonts w:ascii="Times New Roman" w:hAnsi="Times New Roman" w:cs="Times New Roman"/>
        </w:rPr>
        <w:t xml:space="preserve"> drivers with clean driving records</w:t>
      </w:r>
      <w:r w:rsidRPr="00326048">
        <w:rPr>
          <w:rFonts w:ascii="Times New Roman" w:hAnsi="Times New Roman" w:cs="Times New Roman"/>
        </w:rPr>
        <w:t xml:space="preserve"> and found that </w:t>
      </w:r>
      <w:r w:rsidR="00D0655C">
        <w:rPr>
          <w:rFonts w:ascii="Times New Roman" w:hAnsi="Times New Roman" w:cs="Times New Roman"/>
        </w:rPr>
        <w:t>several</w:t>
      </w:r>
      <w:r w:rsidR="00D0655C" w:rsidRPr="00326048">
        <w:rPr>
          <w:rFonts w:ascii="Times New Roman" w:hAnsi="Times New Roman" w:cs="Times New Roman"/>
        </w:rPr>
        <w:t xml:space="preserve"> </w:t>
      </w:r>
      <w:r w:rsidRPr="00326048">
        <w:rPr>
          <w:rFonts w:ascii="Times New Roman" w:hAnsi="Times New Roman" w:cs="Times New Roman"/>
        </w:rPr>
        <w:t xml:space="preserve">insurance companies discriminate on the basis of gender. </w:t>
      </w:r>
      <w:r w:rsidR="00D0655C">
        <w:rPr>
          <w:rFonts w:ascii="Times New Roman" w:hAnsi="Times New Roman" w:cs="Times New Roman"/>
        </w:rPr>
        <w:t xml:space="preserve">Using </w:t>
      </w:r>
      <w:r w:rsidR="0059573F">
        <w:rPr>
          <w:rFonts w:ascii="Times New Roman" w:hAnsi="Times New Roman" w:cs="Times New Roman"/>
        </w:rPr>
        <w:t>33,480</w:t>
      </w:r>
      <w:r w:rsidR="00D0655C">
        <w:rPr>
          <w:rFonts w:ascii="Times New Roman" w:hAnsi="Times New Roman" w:cs="Times New Roman"/>
        </w:rPr>
        <w:t xml:space="preserve"> premium quotes that CFA purchased from Quadrant Information Services, CFA found that five of ten insurers tested charge</w:t>
      </w:r>
      <w:r w:rsidRPr="00326048">
        <w:rPr>
          <w:rFonts w:ascii="Times New Roman" w:hAnsi="Times New Roman" w:cs="Times New Roman"/>
        </w:rPr>
        <w:t xml:space="preserve"> women higher premiums than men, </w:t>
      </w:r>
      <w:r w:rsidR="00D0655C">
        <w:rPr>
          <w:rFonts w:ascii="Times New Roman" w:hAnsi="Times New Roman" w:cs="Times New Roman"/>
        </w:rPr>
        <w:t xml:space="preserve">three </w:t>
      </w:r>
      <w:r w:rsidRPr="00326048">
        <w:rPr>
          <w:rFonts w:ascii="Times New Roman" w:hAnsi="Times New Roman" w:cs="Times New Roman"/>
        </w:rPr>
        <w:t xml:space="preserve">charge men higher premiums, and two companies charge men and women equal amounts. </w:t>
      </w:r>
    </w:p>
    <w:p w14:paraId="46941086" w14:textId="2255F0B0" w:rsidR="00326048" w:rsidRPr="00326048" w:rsidRDefault="00D0655C" w:rsidP="00326048">
      <w:pPr>
        <w:pStyle w:val="NormalWeb"/>
      </w:pPr>
      <w:r>
        <w:t>Aside from the unfairness of charging two good drivers different premiums solely due to their gender, i</w:t>
      </w:r>
      <w:r w:rsidR="00326048" w:rsidRPr="00326048">
        <w:t>nsurers’ inconsistent use of gender indicates that it is not a reliable factor in risk-based pricing, as insurers do not agree on gender-based risk of loss.</w:t>
      </w:r>
    </w:p>
    <w:p w14:paraId="74FE053D" w14:textId="797F2EF2" w:rsidR="00AB17B8" w:rsidRPr="00AB17B8" w:rsidRDefault="00D0655C" w:rsidP="00AB17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D0655C">
        <w:rPr>
          <w:rFonts w:ascii="Times New Roman" w:hAnsi="Times New Roman" w:cs="Times New Roman"/>
        </w:rPr>
        <w:t xml:space="preserve">he data, purchased by CFA from Quadrant Information Services, used insurers’ rate plans filed with </w:t>
      </w:r>
      <w:r>
        <w:rPr>
          <w:rFonts w:ascii="Times New Roman" w:hAnsi="Times New Roman" w:cs="Times New Roman"/>
        </w:rPr>
        <w:t>the state</w:t>
      </w:r>
      <w:r w:rsidRPr="00D0655C">
        <w:rPr>
          <w:rFonts w:ascii="Times New Roman" w:hAnsi="Times New Roman" w:cs="Times New Roman"/>
        </w:rPr>
        <w:t xml:space="preserve"> to calculate the premium for a 35-year-old unmarried driver with no accidents, moving violations, license suspensions, or lapses in coverage, and who has a high school diploma and rents their home. They drive a 2011 Honda Civic LX and have a 12-mile commute, five days a week, for 12,000 miles driven annually. </w:t>
      </w:r>
      <w:r>
        <w:rPr>
          <w:rFonts w:ascii="Times New Roman" w:hAnsi="Times New Roman" w:cs="Times New Roman"/>
        </w:rPr>
        <w:t>The premium quote is for insurance at the state minimum liability coverage requirement.</w:t>
      </w:r>
    </w:p>
    <w:sectPr w:rsidR="00AB17B8" w:rsidRPr="00AB17B8" w:rsidSect="00DE6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D5233"/>
    <w:multiLevelType w:val="hybridMultilevel"/>
    <w:tmpl w:val="5224A0BA"/>
    <w:lvl w:ilvl="0" w:tplc="7DE675B0">
      <w:start w:val="310"/>
      <w:numFmt w:val="bullet"/>
      <w:lvlText w:val="*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479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9D"/>
    <w:rsid w:val="00326048"/>
    <w:rsid w:val="0059573F"/>
    <w:rsid w:val="00652015"/>
    <w:rsid w:val="00706A24"/>
    <w:rsid w:val="007450F1"/>
    <w:rsid w:val="007572CC"/>
    <w:rsid w:val="0079626A"/>
    <w:rsid w:val="007D5A1D"/>
    <w:rsid w:val="00A03423"/>
    <w:rsid w:val="00A26D6D"/>
    <w:rsid w:val="00AB17B8"/>
    <w:rsid w:val="00B341C3"/>
    <w:rsid w:val="00D0655C"/>
    <w:rsid w:val="00DA0B9D"/>
    <w:rsid w:val="00DE6B31"/>
    <w:rsid w:val="00EC136B"/>
    <w:rsid w:val="00FF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0B799"/>
  <w15:chartTrackingRefBased/>
  <w15:docId w15:val="{F9E8599B-F93E-4F48-9247-74AB9EBE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2604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7D5A1D"/>
  </w:style>
  <w:style w:type="paragraph" w:styleId="ListParagraph">
    <w:name w:val="List Paragraph"/>
    <w:basedOn w:val="Normal"/>
    <w:uiPriority w:val="34"/>
    <w:qFormat/>
    <w:rsid w:val="007D5A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4A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4A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266</Words>
  <Characters>1518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DeLong</dc:creator>
  <cp:keywords/>
  <dc:description/>
  <cp:lastModifiedBy>Molishka Heriveaux</cp:lastModifiedBy>
  <cp:revision>2</cp:revision>
  <dcterms:created xsi:type="dcterms:W3CDTF">2023-04-26T14:37:00Z</dcterms:created>
  <dcterms:modified xsi:type="dcterms:W3CDTF">2023-04-26T14:37:00Z</dcterms:modified>
</cp:coreProperties>
</file>